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090D6">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0" w:firstLineChars="0"/>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陕西省长期护理保险失能等级评估机构定点</w:t>
      </w:r>
    </w:p>
    <w:p w14:paraId="5983B4DF">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0" w:firstLineChars="0"/>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管理实施细则（试行）</w:t>
      </w:r>
    </w:p>
    <w:p w14:paraId="2B31B986">
      <w:pPr>
        <w:pStyle w:val="9"/>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（征求意见稿）</w:t>
      </w:r>
    </w:p>
    <w:p w14:paraId="563E2D97">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0" w:firstLineChars="0"/>
        <w:jc w:val="left"/>
        <w:textAlignment w:val="auto"/>
        <w:rPr>
          <w:rFonts w:hint="eastAsia" w:ascii="方正小标宋简体" w:hAnsi="方正小标宋简体" w:eastAsia="方正小标宋简体" w:cs="方正小标宋简体"/>
          <w:kern w:val="0"/>
          <w:sz w:val="32"/>
          <w:szCs w:val="32"/>
          <w:lang w:val="en-US" w:eastAsia="zh-CN" w:bidi="ar"/>
        </w:rPr>
      </w:pPr>
    </w:p>
    <w:p w14:paraId="51D5B650">
      <w:pPr>
        <w:keepNext w:val="0"/>
        <w:keepLines w:val="0"/>
        <w:pageBreakBefore w:val="0"/>
        <w:widowControl w:val="0"/>
        <w:suppressLineNumbers w:val="0"/>
        <w:kinsoku/>
        <w:wordWrap/>
        <w:overflowPunct/>
        <w:topLinePunct w:val="0"/>
        <w:autoSpaceDE/>
        <w:autoSpaceDN/>
        <w:bidi w:val="0"/>
        <w:adjustRightInd/>
        <w:snapToGrid/>
        <w:spacing w:after="157" w:afterLines="50" w:line="600" w:lineRule="exact"/>
        <w:jc w:val="center"/>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第一章 总则</w:t>
      </w:r>
    </w:p>
    <w:p w14:paraId="470054F6">
      <w:pPr>
        <w:keepNext w:val="0"/>
        <w:keepLines w:val="0"/>
        <w:pageBreakBefore w:val="0"/>
        <w:widowControl w:val="0"/>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 xml:space="preserve">第一条 </w:t>
      </w:r>
      <w:r>
        <w:rPr>
          <w:rFonts w:hint="eastAsia" w:ascii="仿宋_GB2312" w:hAnsi="仿宋_GB2312" w:eastAsia="仿宋_GB2312" w:cs="仿宋_GB2312"/>
          <w:kern w:val="0"/>
          <w:sz w:val="32"/>
          <w:szCs w:val="32"/>
          <w:lang w:val="en-US" w:eastAsia="zh-CN" w:bidi="ar"/>
        </w:rPr>
        <w:t>为加强</w:t>
      </w:r>
      <w:r>
        <w:rPr>
          <w:rFonts w:hint="eastAsia" w:ascii="仿宋_GB2312" w:hAnsi="仿宋_GB2312" w:eastAsia="仿宋_GB2312" w:cs="仿宋_GB2312"/>
          <w:kern w:val="0"/>
          <w:sz w:val="32"/>
          <w:szCs w:val="32"/>
          <w:highlight w:val="none"/>
          <w:shd w:val="clear" w:fill="DADADA" w:themeFill="accent3" w:themeFillTint="66"/>
          <w:lang w:val="en-US" w:eastAsia="zh-CN" w:bidi="ar"/>
        </w:rPr>
        <w:t>我省</w:t>
      </w:r>
      <w:r>
        <w:rPr>
          <w:rFonts w:hint="eastAsia" w:ascii="仿宋_GB2312" w:hAnsi="仿宋_GB2312" w:eastAsia="仿宋_GB2312" w:cs="仿宋_GB2312"/>
          <w:kern w:val="0"/>
          <w:sz w:val="32"/>
          <w:szCs w:val="32"/>
          <w:lang w:val="en-US" w:eastAsia="zh-CN" w:bidi="ar"/>
        </w:rPr>
        <w:t>长期护理保险</w:t>
      </w:r>
      <w:bookmarkStart w:id="0" w:name="OLE_LINK1"/>
      <w:r>
        <w:rPr>
          <w:rFonts w:hint="eastAsia" w:ascii="仿宋_GB2312" w:hAnsi="仿宋_GB2312" w:eastAsia="仿宋_GB2312" w:cs="仿宋_GB2312"/>
          <w:kern w:val="0"/>
          <w:sz w:val="32"/>
          <w:szCs w:val="32"/>
          <w:lang w:val="en-US" w:eastAsia="zh-CN" w:bidi="ar"/>
        </w:rPr>
        <w:t>失能等级评估机构</w:t>
      </w:r>
      <w:bookmarkEnd w:id="0"/>
      <w:r>
        <w:rPr>
          <w:rFonts w:hint="eastAsia" w:ascii="仿宋_GB2312" w:hAnsi="仿宋_GB2312" w:eastAsia="仿宋_GB2312" w:cs="仿宋_GB2312"/>
          <w:kern w:val="0"/>
          <w:sz w:val="32"/>
          <w:szCs w:val="32"/>
          <w:highlight w:val="none"/>
          <w:shd w:val="clear" w:fill="DADADA" w:themeFill="accent3" w:themeFillTint="66"/>
          <w:lang w:val="en-US" w:eastAsia="zh-CN" w:bidi="ar"/>
        </w:rPr>
        <w:t>（以下简称“评估机构”）</w:t>
      </w:r>
      <w:r>
        <w:rPr>
          <w:rFonts w:hint="eastAsia" w:ascii="仿宋_GB2312" w:hAnsi="仿宋_GB2312" w:eastAsia="仿宋_GB2312" w:cs="仿宋_GB2312"/>
          <w:kern w:val="0"/>
          <w:sz w:val="32"/>
          <w:szCs w:val="32"/>
          <w:lang w:val="en-US" w:eastAsia="zh-CN" w:bidi="ar"/>
        </w:rPr>
        <w:t>定点管理，</w:t>
      </w:r>
      <w:r>
        <w:rPr>
          <w:rFonts w:hint="eastAsia" w:ascii="仿宋_GB2312" w:hAnsi="仿宋_GB2312" w:eastAsia="仿宋_GB2312" w:cs="仿宋_GB2312"/>
          <w:kern w:val="0"/>
          <w:sz w:val="32"/>
          <w:szCs w:val="32"/>
          <w:highlight w:val="none"/>
          <w:shd w:val="clear" w:fill="DADADA" w:themeFill="accent3" w:themeFillTint="66"/>
          <w:lang w:val="en-US" w:eastAsia="zh-CN" w:bidi="ar"/>
        </w:rPr>
        <w:t>规范评估服务行为，</w:t>
      </w:r>
      <w:r>
        <w:rPr>
          <w:rFonts w:hint="eastAsia" w:ascii="仿宋_GB2312" w:hAnsi="仿宋_GB2312" w:eastAsia="仿宋_GB2312" w:cs="仿宋_GB2312"/>
          <w:kern w:val="0"/>
          <w:sz w:val="32"/>
          <w:szCs w:val="32"/>
          <w:lang w:val="en-US" w:eastAsia="zh-CN" w:bidi="ar"/>
        </w:rPr>
        <w:t>保障参保人</w:t>
      </w:r>
      <w:r>
        <w:rPr>
          <w:rFonts w:hint="eastAsia" w:ascii="仿宋_GB2312" w:hAnsi="仿宋_GB2312" w:eastAsia="仿宋_GB2312" w:cs="仿宋_GB2312"/>
          <w:kern w:val="0"/>
          <w:sz w:val="32"/>
          <w:szCs w:val="32"/>
          <w:highlight w:val="none"/>
          <w:shd w:val="clear" w:fill="DADADA" w:themeFill="accent3" w:themeFillTint="66"/>
          <w:lang w:val="en-US" w:eastAsia="zh-CN" w:bidi="ar"/>
        </w:rPr>
        <w:t>员</w:t>
      </w:r>
      <w:r>
        <w:rPr>
          <w:rFonts w:hint="eastAsia" w:ascii="仿宋_GB2312" w:hAnsi="仿宋_GB2312" w:eastAsia="仿宋_GB2312" w:cs="仿宋_GB2312"/>
          <w:kern w:val="0"/>
          <w:sz w:val="32"/>
          <w:szCs w:val="32"/>
          <w:lang w:val="en-US" w:eastAsia="zh-CN" w:bidi="ar"/>
        </w:rPr>
        <w:t>合法权益，根据</w:t>
      </w:r>
      <w:r>
        <w:rPr>
          <w:rFonts w:hint="eastAsia" w:ascii="仿宋_GB2312" w:hAnsi="仿宋_GB2312" w:eastAsia="仿宋_GB2312" w:cs="仿宋_GB2312"/>
          <w:kern w:val="0"/>
          <w:sz w:val="32"/>
          <w:szCs w:val="32"/>
          <w:highlight w:val="none"/>
          <w:shd w:val="clear" w:fill="DADADA" w:themeFill="accent3" w:themeFillTint="66"/>
          <w:lang w:val="en-US" w:eastAsia="zh-CN" w:bidi="ar"/>
        </w:rPr>
        <w:t>《中共中央办公厅 国务院办公厅关于加快建立长期护理保险制度的意见》（厅字〔2025〕19号）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kern w:val="0"/>
          <w:sz w:val="32"/>
          <w:szCs w:val="32"/>
          <w:lang w:val="en-US" w:eastAsia="zh-CN" w:bidi="ar"/>
        </w:rPr>
        <w:t>《长期护理保险失能等级评估管理办法（试行）》（医保发〔2023〕29号）、</w:t>
      </w:r>
      <w:r>
        <w:rPr>
          <w:rFonts w:hint="eastAsia" w:ascii="仿宋_GB2312" w:hAnsi="仿宋_GB2312" w:eastAsia="仿宋_GB2312" w:cs="仿宋_GB2312"/>
          <w:kern w:val="0"/>
          <w:sz w:val="32"/>
          <w:szCs w:val="32"/>
          <w:highlight w:val="none"/>
          <w:shd w:val="clear" w:fill="DADADA" w:themeFill="accent3" w:themeFillTint="66"/>
          <w:lang w:val="en-US" w:eastAsia="zh-CN" w:bidi="ar"/>
        </w:rPr>
        <w:t>《国家医疗保障局关于印发〈长期护理保险失能等级评估机构定点管理办法（试行）〉的通知》（医保发〔2024〕13号）</w:t>
      </w:r>
      <w:r>
        <w:rPr>
          <w:rFonts w:hint="eastAsia" w:ascii="仿宋_GB2312" w:hAnsi="仿宋_GB2312" w:eastAsia="仿宋_GB2312" w:cs="仿宋_GB2312"/>
          <w:kern w:val="0"/>
          <w:sz w:val="32"/>
          <w:szCs w:val="32"/>
          <w:lang w:val="en-US" w:eastAsia="zh-CN" w:bidi="ar"/>
        </w:rPr>
        <w:t>有关规定，</w:t>
      </w:r>
      <w:r>
        <w:rPr>
          <w:rFonts w:hint="eastAsia" w:ascii="仿宋_GB2312" w:hAnsi="仿宋_GB2312" w:eastAsia="仿宋_GB2312" w:cs="仿宋_GB2312"/>
          <w:kern w:val="0"/>
          <w:sz w:val="32"/>
          <w:szCs w:val="32"/>
          <w:highlight w:val="none"/>
          <w:shd w:val="clear" w:fill="DADADA" w:themeFill="accent3" w:themeFillTint="66"/>
          <w:lang w:val="en-US" w:eastAsia="zh-CN" w:bidi="ar"/>
        </w:rPr>
        <w:t>结合实际，制定本实施细则</w:t>
      </w:r>
      <w:r>
        <w:rPr>
          <w:rFonts w:hint="eastAsia" w:ascii="仿宋_GB2312" w:hAnsi="仿宋_GB2312" w:eastAsia="仿宋_GB2312" w:cs="仿宋_GB2312"/>
          <w:kern w:val="0"/>
          <w:sz w:val="32"/>
          <w:szCs w:val="32"/>
          <w:lang w:val="en-US" w:eastAsia="zh-CN" w:bidi="ar"/>
        </w:rPr>
        <w:t>。</w:t>
      </w:r>
    </w:p>
    <w:p w14:paraId="43955699">
      <w:pPr>
        <w:keepNext w:val="0"/>
        <w:keepLines w:val="0"/>
        <w:pageBreakBefore w:val="0"/>
        <w:widowControl w:val="0"/>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第二条</w:t>
      </w:r>
      <w:r>
        <w:rPr>
          <w:rFonts w:hint="eastAsia" w:ascii="仿宋_GB2312" w:hAnsi="仿宋_GB2312" w:eastAsia="仿宋_GB2312" w:cs="仿宋_GB2312"/>
          <w:kern w:val="0"/>
          <w:sz w:val="32"/>
          <w:szCs w:val="32"/>
          <w:lang w:val="en-US" w:eastAsia="zh-CN" w:bidi="ar"/>
        </w:rPr>
        <w:t xml:space="preserve"> 评估机构定点管理</w:t>
      </w:r>
      <w:r>
        <w:rPr>
          <w:rFonts w:hint="eastAsia" w:ascii="仿宋_GB2312" w:hAnsi="仿宋_GB2312" w:eastAsia="仿宋_GB2312" w:cs="仿宋_GB2312"/>
          <w:b w:val="0"/>
          <w:bCs w:val="0"/>
          <w:kern w:val="0"/>
          <w:sz w:val="32"/>
          <w:szCs w:val="32"/>
          <w:lang w:val="en-US" w:eastAsia="zh-CN" w:bidi="ar"/>
        </w:rPr>
        <w:t>坚持以人民为中心，遵循公平公正、规范透明、权责明晰、动态平衡的原则，不断提升定点管理效能，促进评估行业有序发展，为参保人提供客观公正、</w:t>
      </w:r>
      <w:r>
        <w:rPr>
          <w:rFonts w:hint="eastAsia" w:ascii="仿宋_GB2312" w:hAnsi="仿宋_GB2312" w:eastAsia="仿宋_GB2312" w:cs="仿宋_GB2312"/>
          <w:kern w:val="0"/>
          <w:sz w:val="32"/>
          <w:szCs w:val="32"/>
          <w:highlight w:val="none"/>
          <w:shd w:val="clear" w:fill="DADADA" w:themeFill="accent3" w:themeFillTint="66"/>
          <w:lang w:val="en-US" w:eastAsia="zh-CN" w:bidi="ar"/>
        </w:rPr>
        <w:t>规范及时</w:t>
      </w:r>
      <w:r>
        <w:rPr>
          <w:rFonts w:hint="eastAsia" w:ascii="仿宋_GB2312" w:hAnsi="仿宋_GB2312" w:eastAsia="仿宋_GB2312" w:cs="仿宋_GB2312"/>
          <w:b w:val="0"/>
          <w:bCs w:val="0"/>
          <w:kern w:val="0"/>
          <w:sz w:val="32"/>
          <w:szCs w:val="32"/>
          <w:lang w:val="en-US" w:eastAsia="zh-CN" w:bidi="ar"/>
        </w:rPr>
        <w:t>的评估服务。</w:t>
      </w:r>
    </w:p>
    <w:p w14:paraId="2ECCCA3B">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highlight w:val="none"/>
          <w:shd w:val="clear" w:fill="DADADA" w:themeFill="accent3" w:themeFillTint="66"/>
          <w:lang w:val="en-US" w:eastAsia="zh-CN" w:bidi="ar"/>
        </w:rPr>
      </w:pPr>
      <w:r>
        <w:rPr>
          <w:rFonts w:hint="eastAsia" w:ascii="仿宋_GB2312" w:hAnsi="仿宋_GB2312" w:eastAsia="仿宋_GB2312" w:cs="仿宋_GB2312"/>
          <w:kern w:val="0"/>
          <w:sz w:val="32"/>
          <w:szCs w:val="32"/>
          <w:highlight w:val="none"/>
          <w:shd w:val="clear" w:fill="DADADA" w:themeFill="accent3" w:themeFillTint="66"/>
          <w:lang w:val="en-US" w:eastAsia="zh-CN" w:bidi="ar"/>
        </w:rPr>
        <w:t>定点评估机构是指纳入统筹地区长期护理保险失能等级评估机构定点管理，依照有关规定对长期护理保险参保人员开展失能等级评估的机构。</w:t>
      </w:r>
    </w:p>
    <w:p w14:paraId="7BD9B478">
      <w:pPr>
        <w:keepNext w:val="0"/>
        <w:keepLines w:val="0"/>
        <w:pageBreakBefore w:val="0"/>
        <w:widowControl w:val="0"/>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第三条 </w:t>
      </w:r>
      <w:r>
        <w:rPr>
          <w:rFonts w:hint="eastAsia" w:ascii="仿宋_GB2312" w:hAnsi="仿宋_GB2312" w:eastAsia="仿宋_GB2312" w:cs="仿宋_GB2312"/>
          <w:kern w:val="0"/>
          <w:sz w:val="32"/>
          <w:szCs w:val="32"/>
          <w:highlight w:val="none"/>
          <w:shd w:val="clear" w:fill="DADADA" w:themeFill="accent3" w:themeFillTint="66"/>
          <w:lang w:val="en-US" w:eastAsia="zh-CN" w:bidi="ar"/>
        </w:rPr>
        <w:t>省级医疗保障行政部门制定实施细则，并负责监督和指导本行政区域内评估机构定点管理有关规定的执行和落实。</w:t>
      </w:r>
      <w:r>
        <w:rPr>
          <w:rFonts w:hint="eastAsia" w:ascii="仿宋_GB2312" w:hAnsi="仿宋_GB2312" w:eastAsia="仿宋_GB2312" w:cs="仿宋_GB2312"/>
          <w:kern w:val="0"/>
          <w:sz w:val="32"/>
          <w:szCs w:val="32"/>
          <w:lang w:val="en-US" w:eastAsia="zh-CN" w:bidi="ar"/>
        </w:rPr>
        <w:t>统筹地区医疗保障行政部门在申请受理、审核确定、协议订立、协议履行、协议解除等环节对</w:t>
      </w:r>
      <w:r>
        <w:rPr>
          <w:rFonts w:hint="eastAsia" w:ascii="仿宋_GB2312" w:hAnsi="仿宋_GB2312" w:eastAsia="仿宋_GB2312" w:cs="仿宋_GB2312"/>
          <w:kern w:val="0"/>
          <w:sz w:val="32"/>
          <w:szCs w:val="32"/>
          <w:highlight w:val="none"/>
          <w:shd w:val="clear" w:fill="DADADA" w:themeFill="accent3" w:themeFillTint="66"/>
          <w:lang w:val="en-US" w:eastAsia="zh-CN" w:bidi="ar"/>
        </w:rPr>
        <w:t>统筹地区医疗保障经办机构（以下简称“经办机构”）</w:t>
      </w:r>
      <w:r>
        <w:rPr>
          <w:rFonts w:hint="eastAsia" w:ascii="仿宋_GB2312" w:hAnsi="仿宋_GB2312" w:eastAsia="仿宋_GB2312" w:cs="仿宋_GB2312"/>
          <w:kern w:val="0"/>
          <w:sz w:val="32"/>
          <w:szCs w:val="32"/>
          <w:lang w:val="en-US" w:eastAsia="zh-CN" w:bidi="ar"/>
        </w:rPr>
        <w:t>、定点评估机构等的有关行为进行监督</w:t>
      </w:r>
      <w:r>
        <w:rPr>
          <w:rFonts w:hint="eastAsia" w:ascii="仿宋_GB2312" w:hAnsi="仿宋_GB2312" w:eastAsia="仿宋_GB2312" w:cs="仿宋_GB2312"/>
          <w:kern w:val="0"/>
          <w:sz w:val="32"/>
          <w:szCs w:val="32"/>
          <w:highlight w:val="none"/>
          <w:shd w:val="clear" w:fill="DADADA" w:themeFill="accent3" w:themeFillTint="66"/>
          <w:lang w:val="en-US" w:eastAsia="zh-CN" w:bidi="ar"/>
        </w:rPr>
        <w:t>和指导，同时会同有关部门建立健全评估人员规范化培训机制，组织评估人员培训、考核并发放专项培训证书。</w:t>
      </w:r>
    </w:p>
    <w:p w14:paraId="14E241A4">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highlight w:val="none"/>
          <w:shd w:val="clear" w:fill="DADADA" w:themeFill="accent3" w:themeFillTint="66"/>
          <w:lang w:val="en-US" w:eastAsia="zh-CN" w:bidi="ar"/>
        </w:rPr>
      </w:pPr>
      <w:r>
        <w:rPr>
          <w:rFonts w:hint="eastAsia" w:ascii="仿宋_GB2312" w:hAnsi="仿宋_GB2312" w:eastAsia="仿宋_GB2312" w:cs="仿宋_GB2312"/>
          <w:kern w:val="0"/>
          <w:sz w:val="32"/>
          <w:szCs w:val="32"/>
          <w:highlight w:val="none"/>
          <w:shd w:val="clear" w:fill="DADADA" w:themeFill="accent3" w:themeFillTint="66"/>
          <w:lang w:val="en-US" w:eastAsia="zh-CN" w:bidi="ar"/>
        </w:rPr>
        <w:t>省级经办机构根据国家经办机构制定的长期护理保险评估服务协议（以下简称“评估服务协议”)范本，指导各地加强和完善评估服务协议管理并监督实施。统筹地区经办机构负责根据国家经办机构制定的评估服务协议范本，制定本地区评估服务协议范本，并确定定点评估机构，与定点机构签订评估服务协议，开展协议管理、日常检查、费用审核结算、评估结论抽审、考核评价等相关工作。</w:t>
      </w:r>
    </w:p>
    <w:p w14:paraId="47C34CFF">
      <w:pPr>
        <w:keepNext w:val="0"/>
        <w:keepLines w:val="0"/>
        <w:pageBreakBefore w:val="0"/>
        <w:widowControl w:val="0"/>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FF0000"/>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第四条</w:t>
      </w:r>
      <w:r>
        <w:rPr>
          <w:rFonts w:hint="eastAsia" w:ascii="仿宋_GB2312" w:hAnsi="仿宋_GB2312" w:eastAsia="仿宋_GB2312" w:cs="仿宋_GB2312"/>
          <w:b/>
          <w:bCs/>
          <w:color w:val="FF0000"/>
          <w:kern w:val="0"/>
          <w:sz w:val="32"/>
          <w:szCs w:val="32"/>
          <w:lang w:val="en-US" w:eastAsia="zh-CN" w:bidi="ar"/>
        </w:rPr>
        <w:t> </w:t>
      </w:r>
      <w:r>
        <w:rPr>
          <w:rFonts w:hint="eastAsia" w:ascii="仿宋_GB2312" w:hAnsi="仿宋_GB2312" w:eastAsia="仿宋_GB2312" w:cs="仿宋_GB2312"/>
          <w:kern w:val="0"/>
          <w:sz w:val="32"/>
          <w:szCs w:val="32"/>
          <w:highlight w:val="none"/>
          <w:shd w:val="clear" w:fill="DADADA" w:themeFill="accent3" w:themeFillTint="66"/>
          <w:lang w:val="en-US" w:eastAsia="zh-CN" w:bidi="ar"/>
        </w:rPr>
        <w:t>本实施细则适用于陕西省内实施长期护理保险制度地区的失能等级评估机构定点管理工作。</w:t>
      </w:r>
    </w:p>
    <w:p w14:paraId="2A9ECEE7">
      <w:pPr>
        <w:keepNext w:val="0"/>
        <w:keepLines w:val="0"/>
        <w:pageBreakBefore w:val="0"/>
        <w:widowControl w:val="0"/>
        <w:suppressLineNumbers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仿宋_GB2312" w:hAnsi="仿宋_GB2312" w:eastAsia="仿宋_GB2312" w:cs="仿宋_GB2312"/>
          <w:kern w:val="0"/>
          <w:sz w:val="32"/>
          <w:szCs w:val="32"/>
          <w:lang w:val="en-US" w:eastAsia="zh-CN" w:bidi="ar"/>
        </w:rPr>
      </w:pPr>
      <w:r>
        <w:rPr>
          <w:rFonts w:hint="eastAsia" w:ascii="黑体" w:hAnsi="黑体" w:eastAsia="黑体" w:cs="黑体"/>
          <w:kern w:val="0"/>
          <w:sz w:val="32"/>
          <w:szCs w:val="32"/>
          <w:lang w:val="en-US" w:eastAsia="zh-CN" w:bidi="ar"/>
        </w:rPr>
        <w:t>第二章 定点评估机构确定</w:t>
      </w:r>
    </w:p>
    <w:p w14:paraId="5AE4A1BE">
      <w:pPr>
        <w:keepNext w:val="0"/>
        <w:keepLines w:val="0"/>
        <w:pageBreakBefore w:val="0"/>
        <w:widowControl w:val="0"/>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第五条</w:t>
      </w:r>
      <w:r>
        <w:rPr>
          <w:rFonts w:hint="eastAsia" w:ascii="仿宋_GB2312" w:hAnsi="仿宋_GB2312" w:eastAsia="仿宋_GB2312" w:cs="仿宋_GB2312"/>
          <w:kern w:val="0"/>
          <w:sz w:val="32"/>
          <w:szCs w:val="32"/>
          <w:lang w:val="en-US" w:eastAsia="zh-CN" w:bidi="ar"/>
        </w:rPr>
        <w:t xml:space="preserve"> 统筹地区医疗保障行政部门应综合考虑失能人员总体规模、</w:t>
      </w:r>
      <w:r>
        <w:rPr>
          <w:rFonts w:hint="eastAsia" w:ascii="仿宋_GB2312" w:hAnsi="仿宋_GB2312" w:eastAsia="仿宋_GB2312" w:cs="仿宋_GB2312"/>
          <w:kern w:val="0"/>
          <w:sz w:val="32"/>
          <w:szCs w:val="32"/>
          <w:highlight w:val="none"/>
          <w:shd w:val="clear" w:fill="DADADA" w:themeFill="accent3" w:themeFillTint="66"/>
          <w:lang w:val="en-US" w:eastAsia="zh-CN" w:bidi="ar"/>
        </w:rPr>
        <w:t>参保对象范围、</w:t>
      </w:r>
      <w:r>
        <w:rPr>
          <w:rFonts w:hint="eastAsia" w:ascii="仿宋_GB2312" w:hAnsi="仿宋_GB2312" w:eastAsia="仿宋_GB2312" w:cs="仿宋_GB2312"/>
          <w:kern w:val="0"/>
          <w:sz w:val="32"/>
          <w:szCs w:val="32"/>
          <w:lang w:val="en-US" w:eastAsia="zh-CN" w:bidi="ar"/>
        </w:rPr>
        <w:t>评估行业发展实际、管理服务能力等，</w:t>
      </w:r>
      <w:r>
        <w:rPr>
          <w:rFonts w:hint="eastAsia" w:ascii="仿宋_GB2312" w:hAnsi="仿宋_GB2312" w:eastAsia="仿宋_GB2312" w:cs="仿宋_GB2312"/>
          <w:kern w:val="0"/>
          <w:sz w:val="32"/>
          <w:szCs w:val="32"/>
          <w:highlight w:val="none"/>
          <w:shd w:val="clear" w:fill="DADADA" w:themeFill="accent3" w:themeFillTint="66"/>
          <w:lang w:val="en-US" w:eastAsia="zh-CN" w:bidi="ar"/>
        </w:rPr>
        <w:t>合理统筹规划区域内定点评估机构的配置。</w:t>
      </w:r>
      <w:bookmarkStart w:id="3" w:name="_GoBack"/>
      <w:bookmarkEnd w:id="3"/>
      <w:r>
        <w:rPr>
          <w:rFonts w:hint="eastAsia" w:ascii="仿宋_GB2312" w:hAnsi="仿宋_GB2312" w:eastAsia="仿宋_GB2312" w:cs="仿宋_GB2312"/>
          <w:kern w:val="0"/>
          <w:sz w:val="32"/>
          <w:szCs w:val="32"/>
          <w:highlight w:val="none"/>
          <w:shd w:val="clear" w:fill="DADADA" w:themeFill="accent3" w:themeFillTint="66"/>
          <w:lang w:val="en-US" w:eastAsia="zh-CN" w:bidi="ar"/>
        </w:rPr>
        <w:t>原则上起步阶段应控制总量，保证评估质量市域内规范统一。</w:t>
      </w:r>
    </w:p>
    <w:p w14:paraId="299C162A">
      <w:pPr>
        <w:keepNext w:val="0"/>
        <w:keepLines w:val="0"/>
        <w:pageBreakBefore w:val="0"/>
        <w:widowControl w:val="0"/>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 xml:space="preserve">第六条 </w:t>
      </w:r>
      <w:r>
        <w:rPr>
          <w:rFonts w:hint="eastAsia" w:ascii="仿宋_GB2312" w:hAnsi="仿宋_GB2312" w:eastAsia="仿宋_GB2312" w:cs="仿宋_GB2312"/>
          <w:kern w:val="0"/>
          <w:sz w:val="32"/>
          <w:szCs w:val="32"/>
          <w:lang w:val="en-US" w:eastAsia="zh-CN" w:bidi="ar"/>
        </w:rPr>
        <w:t>定点评估机构应具备专业性、稳定性、权威性。</w:t>
      </w:r>
      <w:r>
        <w:rPr>
          <w:rFonts w:hint="eastAsia" w:ascii="仿宋_GB2312" w:hAnsi="仿宋_GB2312" w:eastAsia="仿宋_GB2312" w:cs="仿宋_GB2312"/>
          <w:kern w:val="0"/>
          <w:sz w:val="32"/>
          <w:szCs w:val="32"/>
          <w:highlight w:val="none"/>
          <w:shd w:val="clear" w:fill="DADADA" w:themeFill="accent3" w:themeFillTint="66"/>
          <w:lang w:val="en-US" w:eastAsia="zh-CN" w:bidi="ar"/>
        </w:rPr>
        <w:t>鼓励支持发展专业独立的社会化评估机构。制度起步阶段，暂不具备实施条件的可依托医疗机构、劳动能力鉴定机构、商业保险机构等实施评估。</w:t>
      </w:r>
      <w:r>
        <w:rPr>
          <w:rFonts w:hint="eastAsia" w:ascii="仿宋_GB2312" w:hAnsi="仿宋_GB2312" w:eastAsia="仿宋_GB2312" w:cs="仿宋_GB2312"/>
          <w:kern w:val="0"/>
          <w:sz w:val="32"/>
          <w:szCs w:val="32"/>
          <w:lang w:val="en-US" w:eastAsia="zh-CN" w:bidi="ar"/>
        </w:rPr>
        <w:t>申请成为定点评估机构应同时具备以下基本条件：</w:t>
      </w:r>
    </w:p>
    <w:p w14:paraId="6E24B345">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（一）依法</w:t>
      </w:r>
      <w:r>
        <w:rPr>
          <w:rFonts w:hint="eastAsia" w:ascii="仿宋_GB2312" w:hAnsi="仿宋_GB2312" w:eastAsia="仿宋_GB2312" w:cs="仿宋_GB2312"/>
          <w:kern w:val="0"/>
          <w:sz w:val="32"/>
          <w:szCs w:val="32"/>
          <w:highlight w:val="none"/>
          <w:shd w:val="clear" w:fill="DADADA" w:themeFill="accent3" w:themeFillTint="66"/>
          <w:lang w:val="en-US" w:eastAsia="zh-CN" w:bidi="ar"/>
        </w:rPr>
        <w:t>在陕西省内</w:t>
      </w:r>
      <w:r>
        <w:rPr>
          <w:rFonts w:hint="eastAsia" w:ascii="仿宋_GB2312" w:hAnsi="仿宋_GB2312" w:eastAsia="仿宋_GB2312" w:cs="仿宋_GB2312"/>
          <w:kern w:val="0"/>
          <w:sz w:val="32"/>
          <w:szCs w:val="32"/>
          <w:lang w:val="en-US" w:eastAsia="zh-CN" w:bidi="ar"/>
        </w:rPr>
        <w:t>登记注册，能够开展失能等级评估工作，正式运营不少于3个月;</w:t>
      </w:r>
    </w:p>
    <w:p w14:paraId="7F332798">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（二）具备与评估工作相适应的专业化人员队伍。申请机构</w:t>
      </w:r>
      <w:r>
        <w:rPr>
          <w:rFonts w:hint="eastAsia" w:ascii="仿宋_GB2312" w:hAnsi="仿宋_GB2312" w:eastAsia="仿宋_GB2312" w:cs="仿宋_GB2312"/>
          <w:kern w:val="0"/>
          <w:sz w:val="32"/>
          <w:szCs w:val="32"/>
          <w:highlight w:val="none"/>
          <w:shd w:val="clear" w:fill="DADADA" w:themeFill="accent3" w:themeFillTint="66"/>
          <w:lang w:val="en-US" w:eastAsia="zh-CN" w:bidi="ar"/>
        </w:rPr>
        <w:t>评估人员总数应不少于6人，其中评估专家占比不少于50%（需有一定比例高级职称人员），专职管理人员不少于1人，信息技术管理维护人员不少于1人</w:t>
      </w:r>
      <w:r>
        <w:rPr>
          <w:rFonts w:hint="eastAsia" w:ascii="仿宋_GB2312" w:hAnsi="仿宋_GB2312" w:eastAsia="仿宋_GB2312" w:cs="仿宋_GB2312"/>
          <w:kern w:val="0"/>
          <w:sz w:val="32"/>
          <w:szCs w:val="32"/>
          <w:lang w:val="en-US" w:eastAsia="zh-CN" w:bidi="ar"/>
        </w:rPr>
        <w:t>;</w:t>
      </w:r>
    </w:p>
    <w:p w14:paraId="4820E782">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（三）具有固定的办公场所，</w:t>
      </w:r>
      <w:r>
        <w:rPr>
          <w:rFonts w:hint="eastAsia" w:ascii="仿宋_GB2312" w:hAnsi="仿宋_GB2312" w:eastAsia="仿宋_GB2312" w:cs="仿宋_GB2312"/>
          <w:kern w:val="0"/>
          <w:sz w:val="32"/>
          <w:szCs w:val="32"/>
          <w:highlight w:val="none"/>
          <w:shd w:val="clear" w:fill="DADADA" w:themeFill="accent3" w:themeFillTint="66"/>
          <w:lang w:val="en-US" w:eastAsia="zh-CN" w:bidi="ar"/>
        </w:rPr>
        <w:t>业务用房的有效使用期限不少于1年，</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kern w:val="0"/>
          <w:sz w:val="32"/>
          <w:szCs w:val="32"/>
          <w:lang w:val="en-US" w:eastAsia="zh-CN" w:bidi="ar"/>
        </w:rPr>
        <w:t>配备符合评估服务协议要求的软、硬件设备和相应管理维护人员；</w:t>
      </w:r>
    </w:p>
    <w:p w14:paraId="1DC54344">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（四）具备使用全省统一的医保信息平台长期护理保险相关功能的条件；</w:t>
      </w:r>
    </w:p>
    <w:p w14:paraId="5730233F">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（五）具有符合评估服务协议要求的服务管理、财务管理、信息统计、内控管理、人员管理、档案管理等制度；</w:t>
      </w:r>
    </w:p>
    <w:p w14:paraId="3CE1DF20">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（六）符合法律法规和省级及以上医疗保障行政部门规定的其他条件。</w:t>
      </w:r>
    </w:p>
    <w:p w14:paraId="510FE0E0">
      <w:pPr>
        <w:keepNext w:val="0"/>
        <w:keepLines w:val="0"/>
        <w:pageBreakBefore w:val="0"/>
        <w:widowControl w:val="0"/>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0"/>
          <w:sz w:val="32"/>
          <w:szCs w:val="32"/>
          <w:highlight w:val="none"/>
          <w:shd w:val="clear" w:fill="DADADA" w:themeFill="accent3" w:themeFillTint="66"/>
          <w:lang w:val="en-US" w:eastAsia="zh-CN" w:bidi="ar"/>
        </w:rPr>
      </w:pPr>
      <w:r>
        <w:rPr>
          <w:rFonts w:hint="eastAsia" w:ascii="仿宋_GB2312" w:hAnsi="仿宋_GB2312" w:eastAsia="仿宋_GB2312" w:cs="仿宋_GB2312"/>
          <w:b/>
          <w:bCs/>
          <w:kern w:val="0"/>
          <w:sz w:val="32"/>
          <w:szCs w:val="32"/>
          <w:lang w:val="en-US" w:eastAsia="zh-CN" w:bidi="ar"/>
        </w:rPr>
        <w:t>第七条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highlight w:val="none"/>
          <w:shd w:val="clear" w:fill="DADADA" w:themeFill="accent3" w:themeFillTint="66"/>
          <w:lang w:val="en-US" w:eastAsia="zh-CN" w:bidi="ar"/>
        </w:rPr>
        <w:t>评估机构可自愿向所在地区经办机构提出定点申请，并如实提供以下材料并加盖申请机构公章：</w:t>
      </w:r>
    </w:p>
    <w:p w14:paraId="2E44F274">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highlight w:val="none"/>
          <w:shd w:val="clear" w:fill="DADADA" w:themeFill="accent3" w:themeFillTint="66"/>
          <w:lang w:val="en-US" w:eastAsia="zh-CN" w:bidi="ar"/>
        </w:rPr>
      </w:pPr>
      <w:r>
        <w:rPr>
          <w:rFonts w:hint="eastAsia" w:ascii="仿宋_GB2312" w:hAnsi="仿宋_GB2312" w:eastAsia="仿宋_GB2312" w:cs="仿宋_GB2312"/>
          <w:kern w:val="0"/>
          <w:sz w:val="32"/>
          <w:szCs w:val="32"/>
          <w:highlight w:val="none"/>
          <w:shd w:val="clear" w:fill="DADADA" w:themeFill="accent3" w:themeFillTint="66"/>
          <w:lang w:val="en-US" w:eastAsia="zh-CN" w:bidi="ar"/>
        </w:rPr>
        <w:t>（一）《陕西省长期护理保险失能等级评估机构申请表》（见附件）；</w:t>
      </w:r>
    </w:p>
    <w:p w14:paraId="1DCC5FD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highlight w:val="none"/>
          <w:shd w:val="clear" w:fill="DADADA" w:themeFill="accent3" w:themeFillTint="66"/>
          <w:lang w:val="en-US" w:eastAsia="zh-CN" w:bidi="ar"/>
        </w:rPr>
      </w:pPr>
      <w:r>
        <w:rPr>
          <w:rFonts w:hint="eastAsia" w:ascii="仿宋_GB2312" w:hAnsi="仿宋_GB2312" w:eastAsia="仿宋_GB2312" w:cs="仿宋_GB2312"/>
          <w:kern w:val="0"/>
          <w:sz w:val="32"/>
          <w:szCs w:val="32"/>
          <w:highlight w:val="none"/>
          <w:shd w:val="clear" w:fill="DADADA" w:themeFill="accent3" w:themeFillTint="66"/>
          <w:lang w:val="en-US" w:eastAsia="zh-CN" w:bidi="ar"/>
        </w:rPr>
        <w:t>（二）以下材料的正、副本复印件，具体包括：</w:t>
      </w:r>
    </w:p>
    <w:p w14:paraId="5DCD757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highlight w:val="none"/>
          <w:shd w:val="clear" w:fill="DADADA" w:themeFill="accent3" w:themeFillTint="66"/>
          <w:lang w:val="en-US" w:eastAsia="zh-CN" w:bidi="ar"/>
        </w:rPr>
      </w:pPr>
      <w:r>
        <w:rPr>
          <w:rFonts w:hint="eastAsia" w:ascii="仿宋_GB2312" w:hAnsi="仿宋_GB2312" w:eastAsia="仿宋_GB2312" w:cs="仿宋_GB2312"/>
          <w:kern w:val="0"/>
          <w:sz w:val="32"/>
          <w:szCs w:val="32"/>
          <w:highlight w:val="none"/>
          <w:shd w:val="clear" w:fill="DADADA" w:themeFill="accent3" w:themeFillTint="66"/>
          <w:lang w:val="en-US" w:eastAsia="zh-CN" w:bidi="ar"/>
        </w:rPr>
        <w:t>1.事业单位提供《事业单位法人证书》；民办非营利性机构提供《民办非企业单位登记证书》；营利性机构提供《营业执照》；</w:t>
      </w:r>
    </w:p>
    <w:p w14:paraId="2552DD3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highlight w:val="none"/>
          <w:shd w:val="clear" w:fill="DADADA" w:themeFill="accent3" w:themeFillTint="66"/>
          <w:lang w:val="en-US" w:eastAsia="zh-CN" w:bidi="ar"/>
        </w:rPr>
      </w:pPr>
      <w:r>
        <w:rPr>
          <w:rFonts w:hint="eastAsia" w:ascii="仿宋_GB2312" w:hAnsi="仿宋_GB2312" w:eastAsia="仿宋_GB2312" w:cs="仿宋_GB2312"/>
          <w:kern w:val="0"/>
          <w:sz w:val="32"/>
          <w:szCs w:val="32"/>
          <w:highlight w:val="none"/>
          <w:shd w:val="clear" w:fill="DADADA" w:themeFill="accent3" w:themeFillTint="66"/>
          <w:lang w:val="en-US" w:eastAsia="zh-CN" w:bidi="ar"/>
        </w:rPr>
        <w:t>2.机构法定代表人身份证明；</w:t>
      </w:r>
    </w:p>
    <w:p w14:paraId="7A0D015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highlight w:val="none"/>
          <w:shd w:val="clear" w:fill="DADADA" w:themeFill="accent3" w:themeFillTint="66"/>
          <w:lang w:val="en-US" w:eastAsia="zh-CN" w:bidi="ar"/>
        </w:rPr>
      </w:pPr>
      <w:r>
        <w:rPr>
          <w:rFonts w:hint="eastAsia" w:ascii="仿宋_GB2312" w:hAnsi="仿宋_GB2312" w:eastAsia="仿宋_GB2312" w:cs="仿宋_GB2312"/>
          <w:kern w:val="0"/>
          <w:sz w:val="32"/>
          <w:szCs w:val="32"/>
          <w:highlight w:val="none"/>
          <w:shd w:val="clear" w:fill="DADADA" w:themeFill="accent3" w:themeFillTint="66"/>
          <w:lang w:val="en-US" w:eastAsia="zh-CN" w:bidi="ar"/>
        </w:rPr>
        <w:t>3.评估人员名册（按照评估员、评估专家分类填写，需注明职位职称、社保缴纳情况等重要信息），并提供</w:t>
      </w:r>
      <w:r>
        <w:rPr>
          <w:rFonts w:hint="default" w:ascii="仿宋_GB2312" w:hAnsi="仿宋_GB2312" w:eastAsia="仿宋_GB2312" w:cs="仿宋_GB2312"/>
          <w:kern w:val="0"/>
          <w:sz w:val="32"/>
          <w:szCs w:val="32"/>
          <w:highlight w:val="none"/>
          <w:shd w:val="clear" w:fill="DADADA" w:themeFill="accent3" w:themeFillTint="66"/>
          <w:lang w:val="en-US" w:eastAsia="zh-CN" w:bidi="ar"/>
        </w:rPr>
        <w:t>评估专项培训证书</w:t>
      </w:r>
      <w:r>
        <w:rPr>
          <w:rFonts w:hint="eastAsia" w:ascii="仿宋_GB2312" w:hAnsi="仿宋_GB2312" w:eastAsia="仿宋_GB2312" w:cs="仿宋_GB2312"/>
          <w:kern w:val="0"/>
          <w:sz w:val="32"/>
          <w:szCs w:val="32"/>
          <w:highlight w:val="none"/>
          <w:shd w:val="clear" w:fill="DADADA" w:themeFill="accent3" w:themeFillTint="66"/>
          <w:lang w:val="en-US" w:eastAsia="zh-CN" w:bidi="ar"/>
        </w:rPr>
        <w:t>、执业证书、资格证书、职称证书、劳动合同、社保证明、聘用合同等相关佐证材料；</w:t>
      </w:r>
    </w:p>
    <w:p w14:paraId="67BAE7C0">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highlight w:val="none"/>
          <w:shd w:val="clear" w:fill="DADADA" w:themeFill="accent3" w:themeFillTint="66"/>
          <w:lang w:val="en-US" w:eastAsia="zh-CN" w:bidi="ar"/>
        </w:rPr>
      </w:pPr>
      <w:r>
        <w:rPr>
          <w:rFonts w:hint="eastAsia" w:ascii="仿宋_GB2312" w:hAnsi="仿宋_GB2312" w:eastAsia="仿宋_GB2312" w:cs="仿宋_GB2312"/>
          <w:kern w:val="0"/>
          <w:sz w:val="32"/>
          <w:szCs w:val="32"/>
          <w:highlight w:val="none"/>
          <w:shd w:val="clear" w:fill="DADADA" w:themeFill="accent3" w:themeFillTint="66"/>
          <w:lang w:val="en-US" w:eastAsia="zh-CN" w:bidi="ar"/>
        </w:rPr>
        <w:t>（三）经营用房产权证明或租赁合同等相关资料复印件及开展评估工作所需系统软件及设施设备证明材料；</w:t>
      </w:r>
    </w:p>
    <w:p w14:paraId="1308C58A">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highlight w:val="none"/>
          <w:shd w:val="clear" w:fill="DADADA" w:themeFill="accent3" w:themeFillTint="66"/>
          <w:lang w:val="en-US" w:eastAsia="zh-CN" w:bidi="ar"/>
        </w:rPr>
      </w:pPr>
      <w:r>
        <w:rPr>
          <w:rFonts w:hint="eastAsia" w:ascii="仿宋_GB2312" w:hAnsi="仿宋_GB2312" w:eastAsia="仿宋_GB2312" w:cs="仿宋_GB2312"/>
          <w:kern w:val="0"/>
          <w:sz w:val="32"/>
          <w:szCs w:val="32"/>
          <w:highlight w:val="none"/>
          <w:shd w:val="clear" w:fill="DADADA" w:themeFill="accent3" w:themeFillTint="66"/>
          <w:lang w:val="en-US" w:eastAsia="zh-CN" w:bidi="ar"/>
        </w:rPr>
        <w:t>（四）信息技术管理维护人员名单及计算机等硬件设备证明材料；</w:t>
      </w:r>
    </w:p>
    <w:p w14:paraId="45AE23BB">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highlight w:val="none"/>
          <w:shd w:val="clear" w:fill="DADADA" w:themeFill="accent3" w:themeFillTint="66"/>
          <w:lang w:val="en-US" w:eastAsia="zh-CN" w:bidi="ar"/>
        </w:rPr>
      </w:pPr>
      <w:r>
        <w:rPr>
          <w:rFonts w:hint="eastAsia" w:ascii="仿宋_GB2312" w:hAnsi="仿宋_GB2312" w:eastAsia="仿宋_GB2312" w:cs="仿宋_GB2312"/>
          <w:kern w:val="0"/>
          <w:sz w:val="32"/>
          <w:szCs w:val="32"/>
          <w:highlight w:val="none"/>
          <w:shd w:val="clear" w:fill="DADADA" w:themeFill="accent3" w:themeFillTint="66"/>
          <w:lang w:val="en-US" w:eastAsia="zh-CN" w:bidi="ar"/>
        </w:rPr>
        <w:t>（五）提供符合评估服务协议要求的各类内部管理制度；</w:t>
      </w:r>
    </w:p>
    <w:p w14:paraId="1312C49B">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highlight w:val="none"/>
          <w:shd w:val="clear" w:fill="DADADA" w:themeFill="accent3" w:themeFillTint="66"/>
          <w:lang w:val="en-US" w:eastAsia="zh-CN" w:bidi="ar"/>
        </w:rPr>
      </w:pPr>
      <w:r>
        <w:rPr>
          <w:rFonts w:hint="eastAsia" w:ascii="仿宋_GB2312" w:hAnsi="仿宋_GB2312" w:eastAsia="仿宋_GB2312" w:cs="仿宋_GB2312"/>
          <w:kern w:val="0"/>
          <w:sz w:val="32"/>
          <w:szCs w:val="32"/>
          <w:highlight w:val="none"/>
          <w:shd w:val="clear" w:fill="DADADA" w:themeFill="accent3" w:themeFillTint="66"/>
          <w:lang w:val="en-US" w:eastAsia="zh-CN" w:bidi="ar"/>
        </w:rPr>
        <w:t>（六）提供近一年以来的财务报表、主营业务开展情况，不足1年的提供自开业以来的报表，但不应少于3个月；</w:t>
      </w:r>
    </w:p>
    <w:p w14:paraId="456708C3">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highlight w:val="none"/>
          <w:shd w:val="clear" w:fill="DADADA" w:themeFill="accent3" w:themeFillTint="66"/>
          <w:lang w:val="en-US" w:eastAsia="zh-CN" w:bidi="ar"/>
        </w:rPr>
      </w:pPr>
      <w:r>
        <w:rPr>
          <w:rFonts w:hint="eastAsia" w:ascii="仿宋_GB2312" w:hAnsi="仿宋_GB2312" w:eastAsia="仿宋_GB2312" w:cs="仿宋_GB2312"/>
          <w:kern w:val="0"/>
          <w:sz w:val="32"/>
          <w:szCs w:val="32"/>
          <w:highlight w:val="none"/>
          <w:shd w:val="clear" w:fill="DADADA" w:themeFill="accent3" w:themeFillTint="66"/>
          <w:lang w:val="en-US" w:eastAsia="zh-CN" w:bidi="ar"/>
        </w:rPr>
        <w:t>（七）经办机构按规定要求提供的其他材料。</w:t>
      </w:r>
    </w:p>
    <w:p w14:paraId="11EEB399">
      <w:pPr>
        <w:keepNext w:val="0"/>
        <w:keepLines w:val="0"/>
        <w:pageBreakBefore w:val="0"/>
        <w:widowControl w:val="0"/>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第八条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highlight w:val="none"/>
          <w:shd w:val="clear" w:fill="DADADA" w:themeFill="accent3" w:themeFillTint="66"/>
          <w:lang w:val="en-US" w:eastAsia="zh-CN" w:bidi="ar"/>
        </w:rPr>
        <w:t>统筹地区经办机构应当及时受理申请，并在其后10个工作日内组织对申请材料完成初步审核。</w:t>
      </w:r>
      <w:r>
        <w:rPr>
          <w:rFonts w:hint="eastAsia" w:ascii="仿宋_GB2312" w:hAnsi="仿宋_GB2312" w:eastAsia="仿宋_GB2312" w:cs="仿宋_GB2312"/>
          <w:kern w:val="0"/>
          <w:sz w:val="32"/>
          <w:szCs w:val="32"/>
          <w:lang w:val="en-US" w:eastAsia="zh-CN" w:bidi="ar"/>
        </w:rPr>
        <w:t>对申请材料不全的，应当一次性告知需补齐的材料</w:t>
      </w:r>
      <w:r>
        <w:rPr>
          <w:rFonts w:hint="eastAsia" w:ascii="仿宋_GB2312" w:hAnsi="仿宋_GB2312" w:eastAsia="仿宋_GB2312" w:cs="仿宋_GB2312"/>
          <w:kern w:val="0"/>
          <w:sz w:val="32"/>
          <w:szCs w:val="32"/>
          <w:highlight w:val="none"/>
          <w:shd w:val="clear" w:fill="DADADA" w:themeFill="accent3" w:themeFillTint="66"/>
          <w:lang w:val="en-US" w:eastAsia="zh-CN" w:bidi="ar"/>
        </w:rPr>
        <w:t>，申报单位应当在5个工作日内补充完善、再次递交，逾期未递交材料的，视为未提交申请；</w:t>
      </w:r>
      <w:r>
        <w:rPr>
          <w:rFonts w:hint="eastAsia" w:ascii="仿宋_GB2312" w:hAnsi="仿宋_GB2312" w:eastAsia="仿宋_GB2312" w:cs="仿宋_GB2312"/>
          <w:kern w:val="0"/>
          <w:sz w:val="32"/>
          <w:szCs w:val="32"/>
          <w:lang w:val="en-US" w:eastAsia="zh-CN" w:bidi="ar"/>
        </w:rPr>
        <w:t>对不符合申请条件的，应当告知并说明理由。</w:t>
      </w:r>
    </w:p>
    <w:p w14:paraId="33A2193B">
      <w:pPr>
        <w:keepNext w:val="0"/>
        <w:keepLines w:val="0"/>
        <w:pageBreakBefore w:val="0"/>
        <w:widowControl w:val="0"/>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0"/>
          <w:sz w:val="32"/>
          <w:szCs w:val="32"/>
          <w:highlight w:val="none"/>
          <w:shd w:val="clear" w:fill="DADADA" w:themeFill="accent3" w:themeFillTint="66"/>
          <w:lang w:val="en-US" w:eastAsia="zh-CN" w:bidi="ar"/>
        </w:rPr>
      </w:pPr>
      <w:r>
        <w:rPr>
          <w:rFonts w:hint="eastAsia" w:ascii="仿宋_GB2312" w:hAnsi="仿宋_GB2312" w:eastAsia="仿宋_GB2312" w:cs="仿宋_GB2312"/>
          <w:b/>
          <w:bCs/>
          <w:kern w:val="0"/>
          <w:sz w:val="32"/>
          <w:szCs w:val="32"/>
          <w:lang w:val="en-US" w:eastAsia="zh-CN" w:bidi="ar"/>
        </w:rPr>
        <w:t>第九条</w:t>
      </w:r>
      <w:r>
        <w:rPr>
          <w:rFonts w:hint="eastAsia" w:ascii="仿宋_GB2312" w:hAnsi="仿宋_GB2312" w:eastAsia="仿宋_GB2312" w:cs="仿宋_GB2312"/>
          <w:kern w:val="0"/>
          <w:sz w:val="32"/>
          <w:szCs w:val="32"/>
          <w:lang w:val="en-US" w:eastAsia="zh-CN" w:bidi="ar"/>
        </w:rPr>
        <w:t xml:space="preserve"> 初步审核通过后，统筹地区经办机构采取书面查验、现场核查、集体评议等形式，组织对申请机构进行综合审核，</w:t>
      </w:r>
      <w:r>
        <w:rPr>
          <w:rFonts w:hint="eastAsia" w:ascii="仿宋_GB2312" w:hAnsi="仿宋_GB2312" w:eastAsia="仿宋_GB2312" w:cs="仿宋_GB2312"/>
          <w:kern w:val="0"/>
          <w:sz w:val="32"/>
          <w:szCs w:val="32"/>
          <w:highlight w:val="none"/>
          <w:shd w:val="clear" w:fill="DADADA" w:themeFill="accent3" w:themeFillTint="66"/>
          <w:lang w:val="en-US" w:eastAsia="zh-CN" w:bidi="ar"/>
        </w:rPr>
        <w:t>审核内容为本实施细则第六条规定所列条件。审核小组成员由从事长护管理、医疗保障、医药卫生、财务管理、信息技术等相关领域的专业人员构成，审核小组成员人数不少于5人且为单数。自受理申请材料之日起，审核时间不超过3个月，评估机构补充材料的时间不计入审核期限。</w:t>
      </w:r>
    </w:p>
    <w:p w14:paraId="5A30F89D">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highlight w:val="none"/>
          <w:shd w:val="clear" w:fill="DADADA" w:themeFill="accent3" w:themeFillTint="66"/>
          <w:lang w:val="en-US" w:eastAsia="zh-CN" w:bidi="ar"/>
        </w:rPr>
        <w:t>统筹地区经办机构</w:t>
      </w:r>
      <w:r>
        <w:rPr>
          <w:rFonts w:hint="eastAsia" w:ascii="仿宋_GB2312" w:hAnsi="仿宋_GB2312" w:eastAsia="仿宋_GB2312" w:cs="仿宋_GB2312"/>
          <w:kern w:val="0"/>
          <w:sz w:val="32"/>
          <w:szCs w:val="32"/>
          <w:lang w:val="en-US" w:eastAsia="zh-CN" w:bidi="ar"/>
        </w:rPr>
        <w:t>应将审核结果向同级医疗保障行政部门备案。审核通过的，应将其纳入拟签订评估服务协议机构名单，并面向社会公示，</w:t>
      </w:r>
      <w:r>
        <w:rPr>
          <w:rFonts w:hint="eastAsia" w:ascii="仿宋_GB2312" w:hAnsi="仿宋_GB2312" w:eastAsia="仿宋_GB2312" w:cs="仿宋_GB2312"/>
          <w:kern w:val="0"/>
          <w:sz w:val="32"/>
          <w:szCs w:val="32"/>
          <w:highlight w:val="none"/>
          <w:shd w:val="clear" w:fill="DADADA" w:themeFill="accent3" w:themeFillTint="66"/>
          <w:lang w:val="en-US" w:eastAsia="zh-CN" w:bidi="ar"/>
        </w:rPr>
        <w:t>公示期不少于5个工作日</w:t>
      </w:r>
      <w:r>
        <w:rPr>
          <w:rFonts w:hint="eastAsia" w:ascii="仿宋_GB2312" w:hAnsi="仿宋_GB2312" w:eastAsia="仿宋_GB2312" w:cs="仿宋_GB2312"/>
          <w:kern w:val="0"/>
          <w:sz w:val="32"/>
          <w:szCs w:val="32"/>
          <w:lang w:val="en-US" w:eastAsia="zh-CN" w:bidi="ar"/>
        </w:rPr>
        <w:t>。审核未通过的，应当及时告知并说明理由。</w:t>
      </w:r>
    </w:p>
    <w:p w14:paraId="7CC71854">
      <w:pPr>
        <w:keepNext w:val="0"/>
        <w:keepLines w:val="0"/>
        <w:pageBreakBefore w:val="0"/>
        <w:widowControl w:val="0"/>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 xml:space="preserve">第十条 </w:t>
      </w:r>
      <w:r>
        <w:rPr>
          <w:rFonts w:hint="eastAsia" w:ascii="仿宋_GB2312" w:hAnsi="仿宋_GB2312" w:eastAsia="仿宋_GB2312" w:cs="仿宋_GB2312"/>
          <w:kern w:val="0"/>
          <w:sz w:val="32"/>
          <w:szCs w:val="32"/>
          <w:highlight w:val="none"/>
          <w:shd w:val="clear" w:fill="DADADA" w:themeFill="accent3" w:themeFillTint="66"/>
          <w:lang w:val="en-US" w:eastAsia="zh-CN" w:bidi="ar"/>
        </w:rPr>
        <w:t>统筹地区经办机构</w:t>
      </w:r>
      <w:r>
        <w:rPr>
          <w:rFonts w:hint="eastAsia" w:ascii="仿宋_GB2312" w:hAnsi="仿宋_GB2312" w:eastAsia="仿宋_GB2312" w:cs="仿宋_GB2312"/>
          <w:b w:val="0"/>
          <w:bCs w:val="0"/>
          <w:kern w:val="0"/>
          <w:sz w:val="32"/>
          <w:szCs w:val="32"/>
          <w:lang w:val="en-US" w:eastAsia="zh-CN" w:bidi="ar"/>
        </w:rPr>
        <w:t>与通过审核、公示的评估机构通过协商谈判，自愿签订评估服务协议</w:t>
      </w:r>
      <w:r>
        <w:rPr>
          <w:rFonts w:hint="eastAsia"/>
          <w:sz w:val="24"/>
          <w:szCs w:val="24"/>
          <w:lang w:val="en-US" w:eastAsia="zh-CN"/>
        </w:rPr>
        <w:t>，</w:t>
      </w:r>
      <w:r>
        <w:rPr>
          <w:rFonts w:hint="eastAsia" w:ascii="仿宋_GB2312" w:hAnsi="仿宋_GB2312" w:eastAsia="仿宋_GB2312" w:cs="仿宋_GB2312"/>
          <w:b w:val="0"/>
          <w:bCs w:val="0"/>
          <w:color w:val="auto"/>
          <w:kern w:val="0"/>
          <w:sz w:val="32"/>
          <w:szCs w:val="32"/>
          <w:lang w:val="en-US" w:eastAsia="zh-CN" w:bidi="ar"/>
        </w:rPr>
        <w:t>并向同级医疗保障行政部门备案。</w:t>
      </w:r>
      <w:r>
        <w:rPr>
          <w:rFonts w:hint="eastAsia" w:ascii="仿宋_GB2312" w:hAnsi="仿宋_GB2312" w:eastAsia="仿宋_GB2312" w:cs="仿宋_GB2312"/>
          <w:b w:val="0"/>
          <w:bCs w:val="0"/>
          <w:kern w:val="0"/>
          <w:sz w:val="32"/>
          <w:szCs w:val="32"/>
          <w:lang w:val="en-US" w:eastAsia="zh-CN" w:bidi="ar"/>
        </w:rPr>
        <w:t>评估</w:t>
      </w:r>
      <w:r>
        <w:rPr>
          <w:rFonts w:hint="eastAsia" w:ascii="仿宋_GB2312" w:hAnsi="仿宋_GB2312" w:eastAsia="仿宋_GB2312" w:cs="仿宋_GB2312"/>
          <w:b w:val="0"/>
          <w:bCs w:val="0"/>
          <w:color w:val="auto"/>
          <w:kern w:val="0"/>
          <w:sz w:val="32"/>
          <w:szCs w:val="32"/>
          <w:lang w:val="en-US" w:eastAsia="zh-CN" w:bidi="ar"/>
        </w:rPr>
        <w:t>服务协议需明</w:t>
      </w:r>
      <w:r>
        <w:rPr>
          <w:rFonts w:hint="eastAsia" w:ascii="仿宋_GB2312" w:hAnsi="仿宋_GB2312" w:eastAsia="仿宋_GB2312" w:cs="仿宋_GB2312"/>
          <w:b w:val="0"/>
          <w:bCs w:val="0"/>
          <w:kern w:val="0"/>
          <w:sz w:val="32"/>
          <w:szCs w:val="32"/>
          <w:lang w:val="en-US" w:eastAsia="zh-CN" w:bidi="ar"/>
        </w:rPr>
        <w:t>确双方权利义务、失能评估管理、费用结算、考核管理、违约责任、协议解除、争议处理等内容。</w:t>
      </w:r>
    </w:p>
    <w:p w14:paraId="75B9F0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
        </w:rPr>
        <w:t xml:space="preserve">第十一条 </w:t>
      </w:r>
      <w:r>
        <w:rPr>
          <w:rFonts w:hint="eastAsia" w:ascii="仿宋_GB2312" w:hAnsi="仿宋_GB2312" w:eastAsia="仿宋_GB2312" w:cs="仿宋_GB2312"/>
          <w:kern w:val="0"/>
          <w:sz w:val="32"/>
          <w:szCs w:val="32"/>
          <w:highlight w:val="none"/>
          <w:shd w:val="clear" w:fill="DADADA" w:themeFill="accent3" w:themeFillTint="66"/>
          <w:lang w:val="en-US" w:eastAsia="zh-CN" w:bidi="ar"/>
        </w:rPr>
        <w:t>首次签订评估服务协议的，协议期一般为1年。续签协议的，可根据协议履行情况、绩效考核结果等，适当延长协议期限，最长不超过3年，且应小于续约协议签订当日的业务用房使用期限。</w:t>
      </w:r>
    </w:p>
    <w:p w14:paraId="0E82ECF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
        </w:rPr>
        <w:t xml:space="preserve">第十二条 </w:t>
      </w:r>
      <w:r>
        <w:rPr>
          <w:rFonts w:hint="eastAsia" w:ascii="仿宋_GB2312" w:hAnsi="仿宋_GB2312" w:eastAsia="仿宋_GB2312" w:cs="仿宋_GB2312"/>
          <w:kern w:val="0"/>
          <w:sz w:val="32"/>
          <w:szCs w:val="32"/>
          <w:highlight w:val="none"/>
          <w:shd w:val="clear" w:fill="DADADA" w:themeFill="accent3" w:themeFillTint="66"/>
          <w:lang w:val="en-US" w:eastAsia="zh-CN" w:bidi="ar"/>
        </w:rPr>
        <w:t>协议续签由定点评估机构提前3个月向统筹地区经办机构提出申请，统筹地区经办机构受理申请后，以现场检查、查阅台账等形式，及时对业务用房产权证明和（或）租赁合同、评估人员资质证明、劳动合同、社保证明、聘用合同、信息技术管理维护人员、设施设备等方面进行重点审核。双方就协议续签事宜进行协商谈判，根据协议履行情况和绩效考核等情况决定是否续签。协商一致的可续签协议，未达成一致的，协议到期后自动终止。定点评估机构自愿中止、解除协议或不再续签的，应提前3个月向所在统筹区医疗保障经办机构提出申请。</w:t>
      </w:r>
    </w:p>
    <w:p w14:paraId="633EC9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
        </w:rPr>
        <w:t xml:space="preserve">第十三条 </w:t>
      </w:r>
      <w:r>
        <w:rPr>
          <w:rFonts w:hint="eastAsia" w:ascii="仿宋_GB2312" w:hAnsi="仿宋_GB2312" w:eastAsia="仿宋_GB2312" w:cs="仿宋_GB2312"/>
          <w:kern w:val="0"/>
          <w:sz w:val="32"/>
          <w:szCs w:val="32"/>
          <w:highlight w:val="none"/>
          <w:shd w:val="clear" w:fill="DADADA" w:themeFill="accent3" w:themeFillTint="66"/>
          <w:lang w:val="en-US" w:eastAsia="zh-CN" w:bidi="ar"/>
        </w:rPr>
        <w:t>统筹地区经办机构</w:t>
      </w:r>
      <w:r>
        <w:rPr>
          <w:rFonts w:hint="eastAsia" w:ascii="仿宋_GB2312" w:hAnsi="仿宋_GB2312" w:eastAsia="仿宋_GB2312" w:cs="仿宋_GB2312"/>
          <w:kern w:val="0"/>
          <w:sz w:val="32"/>
          <w:szCs w:val="32"/>
          <w:lang w:val="en-US" w:eastAsia="zh-CN" w:bidi="ar"/>
        </w:rPr>
        <w:t>应向社会公布签订评估服务协议的定点评估机构名单，</w:t>
      </w:r>
      <w:r>
        <w:rPr>
          <w:rFonts w:hint="eastAsia" w:ascii="仿宋_GB2312" w:hAnsi="仿宋_GB2312" w:eastAsia="仿宋_GB2312" w:cs="仿宋_GB2312"/>
          <w:kern w:val="0"/>
          <w:sz w:val="32"/>
          <w:szCs w:val="32"/>
          <w:highlight w:val="none"/>
          <w:shd w:val="clear" w:fill="DADADA" w:themeFill="accent3" w:themeFillTint="66"/>
          <w:lang w:val="en-US" w:eastAsia="zh-CN" w:bidi="ar"/>
        </w:rPr>
        <w:t>包括但不限于机构名称、机构性质、法定代表人、联系电话、地址等信息。</w:t>
      </w:r>
    </w:p>
    <w:p w14:paraId="709E23C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
        </w:rPr>
        <w:t xml:space="preserve">第十四条 </w:t>
      </w:r>
      <w:r>
        <w:rPr>
          <w:rFonts w:hint="eastAsia" w:ascii="仿宋_GB2312" w:hAnsi="仿宋_GB2312" w:eastAsia="仿宋_GB2312" w:cs="仿宋_GB2312"/>
          <w:kern w:val="0"/>
          <w:sz w:val="32"/>
          <w:szCs w:val="32"/>
          <w:lang w:val="en-US" w:eastAsia="zh-CN" w:bidi="ar"/>
        </w:rPr>
        <w:t>评估机构有下列情形之一的，不予受理定点申请：</w:t>
      </w:r>
    </w:p>
    <w:p w14:paraId="2944B81C">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采取伪造、篡改申请材料等不正当手段申请定点评估机构，自发现之日起未满3年的；</w:t>
      </w:r>
    </w:p>
    <w:p w14:paraId="051A6119">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因违法违规解除评估服务协议未满3年或已满3年但未完全履行行政处罚法律责任的；</w:t>
      </w:r>
    </w:p>
    <w:p w14:paraId="5CB5EDF4">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因严重违反评估服务协议约定而被解除协议未满1年或已满1年但未完全履行违约责任的；</w:t>
      </w:r>
    </w:p>
    <w:p w14:paraId="18AE2A17">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highlight w:val="none"/>
          <w:shd w:val="clear" w:fill="DADADA" w:themeFill="accent3" w:themeFillTint="66"/>
          <w:lang w:val="en-US" w:eastAsia="zh-CN" w:bidi="ar"/>
        </w:rPr>
        <w:t>法定代表人或主要负责人因造成长护险基金重大损失或其他严重不良社会影响、被禁止从事长护险定点评估机构管理活动未满5年的</w:t>
      </w:r>
      <w:r>
        <w:rPr>
          <w:rFonts w:hint="eastAsia" w:ascii="仿宋_GB2312" w:hAnsi="仿宋_GB2312" w:eastAsia="仿宋_GB2312" w:cs="仿宋_GB2312"/>
          <w:kern w:val="0"/>
          <w:sz w:val="32"/>
          <w:szCs w:val="32"/>
          <w:lang w:val="en-US" w:eastAsia="zh-CN" w:bidi="ar"/>
        </w:rPr>
        <w:t>；</w:t>
      </w:r>
    </w:p>
    <w:p w14:paraId="3F3D2CF8">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法定代表人、主要负责人或实际控制人被列入失信人名单的；</w:t>
      </w:r>
    </w:p>
    <w:p w14:paraId="35108FB6">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FF0000"/>
          <w:kern w:val="0"/>
          <w:sz w:val="32"/>
          <w:szCs w:val="32"/>
          <w:lang w:val="en-US" w:eastAsia="zh-CN" w:bidi="ar"/>
        </w:rPr>
      </w:pPr>
      <w:r>
        <w:rPr>
          <w:rFonts w:hint="eastAsia" w:ascii="仿宋_GB2312" w:hAnsi="仿宋_GB2312" w:eastAsia="仿宋_GB2312" w:cs="仿宋_GB2312"/>
          <w:kern w:val="0"/>
          <w:sz w:val="32"/>
          <w:szCs w:val="32"/>
          <w:highlight w:val="none"/>
          <w:shd w:val="clear" w:fill="DADADA" w:themeFill="accent3" w:themeFillTint="66"/>
          <w:lang w:val="en-US" w:eastAsia="zh-CN" w:bidi="ar"/>
        </w:rPr>
        <w:t>同时作为长期护理保险委托经办机构或定点长期护理服务机构的，</w:t>
      </w:r>
      <w:r>
        <w:rPr>
          <w:rFonts w:hint="eastAsia" w:ascii="仿宋_GB2312" w:hAnsi="仿宋_GB2312" w:eastAsia="仿宋_GB2312" w:cs="仿宋_GB2312"/>
          <w:color w:val="auto"/>
          <w:kern w:val="0"/>
          <w:sz w:val="32"/>
          <w:szCs w:val="32"/>
          <w:highlight w:val="none"/>
          <w:shd w:val="clear" w:fill="DADADA" w:themeFill="accent3" w:themeFillTint="66"/>
          <w:lang w:val="en-US" w:eastAsia="zh-CN" w:bidi="ar"/>
        </w:rPr>
        <w:t>或和上述机构有隶属关系的</w:t>
      </w:r>
      <w:r>
        <w:rPr>
          <w:rFonts w:hint="eastAsia" w:ascii="仿宋_GB2312" w:hAnsi="仿宋_GB2312" w:eastAsia="仿宋_GB2312" w:cs="仿宋_GB2312"/>
          <w:color w:val="auto"/>
          <w:kern w:val="0"/>
          <w:sz w:val="32"/>
          <w:szCs w:val="32"/>
          <w:lang w:val="en-US" w:eastAsia="zh-CN" w:bidi="ar"/>
        </w:rPr>
        <w:t>；</w:t>
      </w:r>
    </w:p>
    <w:p w14:paraId="2B49CB5C">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法律法规规定的其他不予受理的情形。</w:t>
      </w:r>
      <w:r>
        <w:rPr>
          <w:rFonts w:hint="eastAsia" w:ascii="仿宋_GB2312" w:hAnsi="仿宋_GB2312" w:eastAsia="仿宋_GB2312" w:cs="仿宋_GB2312"/>
          <w:b/>
          <w:bCs/>
          <w:kern w:val="0"/>
          <w:sz w:val="32"/>
          <w:szCs w:val="32"/>
          <w:lang w:val="en-US" w:eastAsia="zh-CN" w:bidi="ar"/>
        </w:rPr>
        <w:t xml:space="preserve"> </w:t>
      </w:r>
    </w:p>
    <w:p w14:paraId="362498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第三章 定点评估机构运行管理</w:t>
      </w:r>
    </w:p>
    <w:p w14:paraId="0A54927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第十五条</w:t>
      </w:r>
      <w:r>
        <w:rPr>
          <w:rFonts w:hint="eastAsia" w:ascii="仿宋_GB2312" w:hAnsi="仿宋_GB2312" w:eastAsia="仿宋_GB2312" w:cs="仿宋_GB2312"/>
          <w:kern w:val="0"/>
          <w:sz w:val="32"/>
          <w:szCs w:val="32"/>
          <w:lang w:val="en-US" w:eastAsia="zh-CN" w:bidi="ar"/>
        </w:rPr>
        <w:t xml:space="preserve"> 定点评估机构应当遵守长期护理保险有关政策规定，按照评估服务协议要求，加强内部建设，</w:t>
      </w:r>
      <w:r>
        <w:rPr>
          <w:rFonts w:hint="eastAsia" w:ascii="仿宋_GB2312" w:hAnsi="仿宋_GB2312" w:eastAsia="仿宋_GB2312" w:cs="仿宋_GB2312"/>
          <w:kern w:val="0"/>
          <w:sz w:val="32"/>
          <w:szCs w:val="32"/>
          <w:highlight w:val="none"/>
          <w:shd w:val="clear" w:fill="DADADA" w:themeFill="accent3" w:themeFillTint="66"/>
          <w:lang w:val="en-US" w:eastAsia="zh-CN" w:bidi="ar"/>
        </w:rPr>
        <w:t>组织评估人员公平公正开展失能等级评估工作，</w:t>
      </w:r>
      <w:r>
        <w:rPr>
          <w:rFonts w:hint="eastAsia" w:ascii="仿宋_GB2312" w:hAnsi="仿宋_GB2312" w:eastAsia="仿宋_GB2312" w:cs="仿宋_GB2312"/>
          <w:kern w:val="0"/>
          <w:sz w:val="32"/>
          <w:szCs w:val="32"/>
          <w:lang w:val="en-US" w:eastAsia="zh-CN" w:bidi="ar"/>
        </w:rPr>
        <w:t>确保评估质量和评估结论准确性。</w:t>
      </w:r>
    </w:p>
    <w:p w14:paraId="7703A4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第十六条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highlight w:val="none"/>
          <w:shd w:val="clear" w:fill="DADADA" w:themeFill="accent3" w:themeFillTint="66"/>
          <w:lang w:val="en-US" w:eastAsia="zh-CN" w:bidi="ar"/>
        </w:rPr>
        <w:t>定点评估机构应在统筹地区经办机构统一管理下，承担以下六种类型评估工作：</w:t>
      </w:r>
    </w:p>
    <w:p w14:paraId="777C088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highlight w:val="none"/>
          <w:shd w:val="clear" w:fill="DADADA" w:themeFill="accent3" w:themeFillTint="66"/>
          <w:lang w:val="en-US" w:eastAsia="zh-CN" w:bidi="ar"/>
        </w:rPr>
        <w:t>（一）初次评估。是指定点评估机构按规定对首次申请评估的参保人员进行的评估。</w:t>
      </w:r>
      <w:r>
        <w:rPr>
          <w:rFonts w:hint="eastAsia" w:ascii="仿宋_GB2312" w:hAnsi="仿宋_GB2312" w:eastAsia="仿宋_GB2312" w:cs="仿宋_GB2312"/>
          <w:kern w:val="0"/>
          <w:sz w:val="32"/>
          <w:szCs w:val="32"/>
          <w:highlight w:val="none"/>
          <w:shd w:val="clear" w:fill="DADADA" w:themeFill="accent3" w:themeFillTint="66"/>
          <w:lang w:val="en-US" w:eastAsia="zh-CN" w:bidi="ar"/>
        </w:rPr>
        <w:br w:type="textWrapping"/>
      </w:r>
      <w:r>
        <w:rPr>
          <w:rFonts w:hint="eastAsia" w:ascii="仿宋_GB2312" w:hAnsi="仿宋_GB2312" w:eastAsia="仿宋_GB2312" w:cs="仿宋_GB2312"/>
          <w:kern w:val="0"/>
          <w:sz w:val="32"/>
          <w:szCs w:val="32"/>
          <w:highlight w:val="none"/>
          <w:shd w:val="clear" w:fill="DADADA" w:themeFill="accent3" w:themeFillTint="66"/>
          <w:lang w:val="en-US" w:eastAsia="zh-CN" w:bidi="ar"/>
        </w:rPr>
        <w:t>　　（二）状态变化评估。是指在上次评估结论出具满6个月后，参保人员因失能状态发生变化重新提出申请的评估。</w:t>
      </w:r>
      <w:r>
        <w:rPr>
          <w:rFonts w:hint="eastAsia" w:ascii="仿宋_GB2312" w:hAnsi="仿宋_GB2312" w:eastAsia="仿宋_GB2312" w:cs="仿宋_GB2312"/>
          <w:kern w:val="0"/>
          <w:sz w:val="32"/>
          <w:szCs w:val="32"/>
          <w:highlight w:val="none"/>
          <w:shd w:val="clear" w:fill="DADADA" w:themeFill="accent3" w:themeFillTint="66"/>
          <w:lang w:val="en-US" w:eastAsia="zh-CN" w:bidi="ar"/>
        </w:rPr>
        <w:br w:type="textWrapping"/>
      </w:r>
      <w:r>
        <w:rPr>
          <w:rFonts w:hint="eastAsia" w:ascii="仿宋_GB2312" w:hAnsi="仿宋_GB2312" w:eastAsia="仿宋_GB2312" w:cs="仿宋_GB2312"/>
          <w:kern w:val="0"/>
          <w:sz w:val="32"/>
          <w:szCs w:val="32"/>
          <w:highlight w:val="none"/>
          <w:shd w:val="clear" w:fill="DADADA" w:themeFill="accent3" w:themeFillTint="66"/>
          <w:lang w:val="en-US" w:eastAsia="zh-CN" w:bidi="ar"/>
        </w:rPr>
        <w:t>　　（三）届满评估。是指评估结论有效期届满前，对原待遇享受参保人进行的评估。</w:t>
      </w:r>
      <w:r>
        <w:rPr>
          <w:rFonts w:hint="eastAsia" w:ascii="仿宋_GB2312" w:hAnsi="仿宋_GB2312" w:eastAsia="仿宋_GB2312" w:cs="仿宋_GB2312"/>
          <w:kern w:val="0"/>
          <w:sz w:val="32"/>
          <w:szCs w:val="32"/>
          <w:highlight w:val="none"/>
          <w:shd w:val="clear" w:fill="DADADA" w:themeFill="accent3" w:themeFillTint="66"/>
          <w:lang w:val="en-US" w:eastAsia="zh-CN" w:bidi="ar"/>
        </w:rPr>
        <w:br w:type="textWrapping"/>
      </w:r>
      <w:r>
        <w:rPr>
          <w:rFonts w:hint="eastAsia" w:ascii="仿宋_GB2312" w:hAnsi="仿宋_GB2312" w:eastAsia="仿宋_GB2312" w:cs="仿宋_GB2312"/>
          <w:kern w:val="0"/>
          <w:sz w:val="32"/>
          <w:szCs w:val="32"/>
          <w:highlight w:val="none"/>
          <w:shd w:val="clear" w:fill="DADADA" w:themeFill="accent3" w:themeFillTint="66"/>
          <w:lang w:val="en-US" w:eastAsia="zh-CN" w:bidi="ar"/>
        </w:rPr>
        <w:t>　　（四）争议复评。是指申请人对评估结论有异议的，在收到评估结论书之日起5个工作日内再次提出申请的评估。</w:t>
      </w:r>
      <w:r>
        <w:rPr>
          <w:rFonts w:hint="eastAsia" w:ascii="仿宋_GB2312" w:hAnsi="仿宋_GB2312" w:eastAsia="仿宋_GB2312" w:cs="仿宋_GB2312"/>
          <w:kern w:val="0"/>
          <w:sz w:val="32"/>
          <w:szCs w:val="32"/>
          <w:highlight w:val="none"/>
          <w:shd w:val="clear" w:fill="DADADA" w:themeFill="accent3" w:themeFillTint="66"/>
          <w:lang w:val="en-US" w:eastAsia="zh-CN" w:bidi="ar"/>
        </w:rPr>
        <w:br w:type="textWrapping"/>
      </w:r>
      <w:r>
        <w:rPr>
          <w:rFonts w:hint="eastAsia" w:ascii="仿宋_GB2312" w:hAnsi="仿宋_GB2312" w:eastAsia="仿宋_GB2312" w:cs="仿宋_GB2312"/>
          <w:kern w:val="0"/>
          <w:sz w:val="32"/>
          <w:szCs w:val="32"/>
          <w:highlight w:val="none"/>
          <w:shd w:val="clear" w:fill="DADADA" w:themeFill="accent3" w:themeFillTint="66"/>
          <w:lang w:val="en-US" w:eastAsia="zh-CN" w:bidi="ar"/>
        </w:rPr>
        <w:t>　　（五）抽查复评。是指统筹地区医疗保障行政部门、经办机构通过抽查监督等途径，发现参保人当前失能状态发生变化，可能影响待遇享受情况而重新进行的评估。</w:t>
      </w:r>
      <w:r>
        <w:rPr>
          <w:rFonts w:hint="eastAsia" w:ascii="仿宋_GB2312" w:hAnsi="仿宋_GB2312" w:eastAsia="仿宋_GB2312" w:cs="仿宋_GB2312"/>
          <w:kern w:val="0"/>
          <w:sz w:val="32"/>
          <w:szCs w:val="32"/>
          <w:highlight w:val="none"/>
          <w:shd w:val="clear" w:fill="DADADA" w:themeFill="accent3" w:themeFillTint="66"/>
          <w:lang w:val="en-US" w:eastAsia="zh-CN" w:bidi="ar"/>
        </w:rPr>
        <w:br w:type="textWrapping"/>
      </w:r>
      <w:r>
        <w:rPr>
          <w:rFonts w:hint="eastAsia" w:ascii="仿宋_GB2312" w:hAnsi="仿宋_GB2312" w:eastAsia="仿宋_GB2312" w:cs="仿宋_GB2312"/>
          <w:kern w:val="0"/>
          <w:sz w:val="32"/>
          <w:szCs w:val="32"/>
          <w:highlight w:val="none"/>
          <w:shd w:val="clear" w:fill="DADADA" w:themeFill="accent3" w:themeFillTint="66"/>
          <w:lang w:val="en-US" w:eastAsia="zh-CN" w:bidi="ar"/>
        </w:rPr>
        <w:t>　　（六）稽核复评。是指第三人对公示的评估结论存在异议的，在公示期内实名反映情况，统筹地区经办机构对公示的异议对象开展的复评。</w:t>
      </w:r>
    </w:p>
    <w:p w14:paraId="648D97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0"/>
          <w:sz w:val="32"/>
          <w:szCs w:val="32"/>
          <w:highlight w:val="none"/>
          <w:shd w:val="clear" w:fill="DADADA" w:themeFill="accent3" w:themeFillTint="66"/>
          <w:lang w:val="en-US" w:eastAsia="zh-CN" w:bidi="ar"/>
        </w:rPr>
      </w:pPr>
      <w:r>
        <w:rPr>
          <w:rFonts w:hint="eastAsia" w:ascii="仿宋_GB2312" w:hAnsi="仿宋_GB2312" w:eastAsia="仿宋_GB2312" w:cs="仿宋_GB2312"/>
          <w:b/>
          <w:bCs/>
          <w:kern w:val="0"/>
          <w:sz w:val="32"/>
          <w:szCs w:val="32"/>
          <w:lang w:val="en-US" w:eastAsia="zh-CN" w:bidi="ar"/>
        </w:rPr>
        <w:t>第十七条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highlight w:val="none"/>
          <w:shd w:val="clear" w:fill="DADADA" w:themeFill="accent3" w:themeFillTint="66"/>
          <w:lang w:val="en-US" w:eastAsia="zh-CN" w:bidi="ar"/>
        </w:rPr>
        <w:t>定点评估机构应严格按照《国家医保局 财政部关于印发〈长期护理保险失能等级评估管理办法（试行）〉的通知》（医保发〔2023〕29号）及所在统筹地区市级医疗保障部门据此 制定的实施细则，及时组织符合条件的评估人员按规定评估流程以及时间节点开展失能评估工作。</w:t>
      </w:r>
    </w:p>
    <w:p w14:paraId="659411E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第十八条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highlight w:val="none"/>
          <w:shd w:val="clear" w:fill="DADADA" w:themeFill="accent3" w:themeFillTint="66"/>
          <w:lang w:val="en-US" w:eastAsia="zh-CN" w:bidi="ar"/>
        </w:rPr>
        <w:t>定点评估机构应当在一定范围内，对评估结论达到待遇享受条件对应失能等级的参保人员进行公示，接受社会监督。公示内容需包括参保人员姓名、性别、年龄、评估结论等信息，公示期不少于5个工作日。</w:t>
      </w:r>
    </w:p>
    <w:p w14:paraId="578DF9D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 xml:space="preserve">第十九条 </w:t>
      </w:r>
      <w:r>
        <w:rPr>
          <w:rFonts w:hint="eastAsia" w:ascii="仿宋_GB2312" w:hAnsi="仿宋_GB2312" w:eastAsia="仿宋_GB2312" w:cs="仿宋_GB2312"/>
          <w:kern w:val="0"/>
          <w:sz w:val="32"/>
          <w:szCs w:val="32"/>
          <w:highlight w:val="none"/>
          <w:shd w:val="clear" w:fill="DADADA" w:themeFill="accent3" w:themeFillTint="66"/>
          <w:lang w:val="en-US" w:eastAsia="zh-CN" w:bidi="ar"/>
        </w:rPr>
        <w:t>定点评估机构对经评估不符合待遇享受条件的，或符合待遇享受条件经公示无异议的参保人员，都应出具相应评估结论书，并将评估结论书及时交送统筹地区经办机构。对符合待遇享受条件经公示无异议的参保人员，还应结合实际，在《国家长期护理保险服务项目目录（试行）》所列项目范围内，为其提供适配的护理服务建议，与评估结论书同步交送统筹地区经办机构。</w:t>
      </w:r>
    </w:p>
    <w:p w14:paraId="2A49B3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 xml:space="preserve">第二十条 </w:t>
      </w:r>
      <w:r>
        <w:rPr>
          <w:rFonts w:hint="eastAsia" w:ascii="仿宋_GB2312" w:hAnsi="仿宋_GB2312" w:eastAsia="仿宋_GB2312" w:cs="仿宋_GB2312"/>
          <w:kern w:val="0"/>
          <w:sz w:val="32"/>
          <w:szCs w:val="32"/>
          <w:lang w:val="en-US" w:eastAsia="zh-CN" w:bidi="ar"/>
        </w:rPr>
        <w:t>定点评估机构应建立健全内部质量控制制度，形成部门之间、岗位之间和业务之间相互制衡、相互监督的内控机制。</w:t>
      </w:r>
    </w:p>
    <w:p w14:paraId="3F2FE1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第二十一条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highlight w:val="none"/>
          <w:shd w:val="clear" w:fill="DADADA" w:themeFill="accent3" w:themeFillTint="66"/>
          <w:lang w:val="en-US" w:eastAsia="zh-CN" w:bidi="ar"/>
        </w:rPr>
        <w:t>定点评估机构应当建立评估人员动态管理机制和工作质量考核评价体系，对评估人员实行实名制管理，</w:t>
      </w:r>
      <w:r>
        <w:rPr>
          <w:rFonts w:hint="eastAsia" w:ascii="仿宋_GB2312" w:hAnsi="仿宋_GB2312" w:eastAsia="仿宋_GB2312" w:cs="仿宋_GB2312"/>
          <w:kern w:val="0"/>
          <w:sz w:val="32"/>
          <w:szCs w:val="32"/>
          <w:highlight w:val="none"/>
          <w:lang w:val="en-US" w:eastAsia="zh-CN" w:bidi="ar"/>
        </w:rPr>
        <w:t>规</w:t>
      </w:r>
      <w:r>
        <w:rPr>
          <w:rFonts w:hint="eastAsia" w:ascii="仿宋_GB2312" w:hAnsi="仿宋_GB2312" w:eastAsia="仿宋_GB2312" w:cs="仿宋_GB2312"/>
          <w:kern w:val="0"/>
          <w:sz w:val="32"/>
          <w:szCs w:val="32"/>
          <w:lang w:val="en-US" w:eastAsia="zh-CN" w:bidi="ar"/>
        </w:rPr>
        <w:t>范评估工作行为。按规定组织评估人员参加业务培训，定期组织内部培训，确保评估人员熟悉长期护理保险相关政策法规，掌握评估技能，</w:t>
      </w:r>
      <w:r>
        <w:rPr>
          <w:rFonts w:hint="eastAsia" w:ascii="仿宋_GB2312" w:hAnsi="仿宋_GB2312" w:eastAsia="仿宋_GB2312" w:cs="仿宋_GB2312"/>
          <w:kern w:val="0"/>
          <w:sz w:val="32"/>
          <w:szCs w:val="32"/>
          <w:highlight w:val="none"/>
          <w:shd w:val="clear" w:fill="DADADA" w:themeFill="accent3" w:themeFillTint="66"/>
          <w:lang w:val="en-US" w:eastAsia="zh-CN" w:bidi="ar"/>
        </w:rPr>
        <w:t>提高评估专业水平</w:t>
      </w:r>
      <w:r>
        <w:rPr>
          <w:rFonts w:hint="eastAsia" w:ascii="仿宋_GB2312" w:hAnsi="仿宋_GB2312" w:eastAsia="仿宋_GB2312" w:cs="仿宋_GB2312"/>
          <w:kern w:val="0"/>
          <w:sz w:val="32"/>
          <w:szCs w:val="32"/>
          <w:lang w:val="en-US" w:eastAsia="zh-CN" w:bidi="ar"/>
        </w:rPr>
        <w:t>。</w:t>
      </w:r>
    </w:p>
    <w:p w14:paraId="350C13F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第二十二条</w:t>
      </w:r>
      <w:r>
        <w:rPr>
          <w:rFonts w:hint="eastAsia" w:ascii="仿宋_GB2312" w:hAnsi="仿宋_GB2312" w:eastAsia="仿宋_GB2312" w:cs="仿宋_GB2312"/>
          <w:kern w:val="0"/>
          <w:sz w:val="32"/>
          <w:szCs w:val="32"/>
          <w:lang w:val="en-US" w:eastAsia="zh-CN" w:bidi="ar"/>
        </w:rPr>
        <w:t xml:space="preserve"> 定点评估机构应建立评估档案管理制度，按要求做好失能等级评估申请材料、评估过程相关记录、评估结论书、内部管理控制等档案的留存归档。评估服务协议期限届满或协议终止前，应及时将完整档案移交</w:t>
      </w:r>
      <w:r>
        <w:rPr>
          <w:rFonts w:hint="eastAsia" w:ascii="仿宋_GB2312" w:hAnsi="仿宋_GB2312" w:eastAsia="仿宋_GB2312" w:cs="仿宋_GB2312"/>
          <w:kern w:val="0"/>
          <w:sz w:val="32"/>
          <w:szCs w:val="32"/>
          <w:highlight w:val="none"/>
          <w:shd w:val="clear" w:fill="DADADA" w:themeFill="accent3" w:themeFillTint="66"/>
          <w:lang w:val="en-US" w:eastAsia="zh-CN" w:bidi="ar"/>
        </w:rPr>
        <w:t>统筹地区经办机构</w:t>
      </w:r>
      <w:r>
        <w:rPr>
          <w:rFonts w:hint="eastAsia" w:ascii="仿宋_GB2312" w:hAnsi="仿宋_GB2312" w:eastAsia="仿宋_GB2312" w:cs="仿宋_GB2312"/>
          <w:kern w:val="0"/>
          <w:sz w:val="32"/>
          <w:szCs w:val="32"/>
          <w:lang w:val="en-US" w:eastAsia="zh-CN" w:bidi="ar"/>
        </w:rPr>
        <w:t>。</w:t>
      </w:r>
    </w:p>
    <w:p w14:paraId="57835E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第二十三条</w:t>
      </w:r>
      <w:r>
        <w:rPr>
          <w:rFonts w:hint="eastAsia" w:ascii="仿宋_GB2312" w:hAnsi="仿宋_GB2312" w:eastAsia="仿宋_GB2312" w:cs="仿宋_GB2312"/>
          <w:kern w:val="0"/>
          <w:sz w:val="32"/>
          <w:szCs w:val="32"/>
          <w:lang w:val="en-US" w:eastAsia="zh-CN" w:bidi="ar"/>
        </w:rPr>
        <w:t xml:space="preserve"> 定点评估机构应建立长期护理保险信息安全管理制度，明确信息安全管理责任，确保信息安全。未经</w:t>
      </w:r>
      <w:r>
        <w:rPr>
          <w:rFonts w:hint="eastAsia" w:ascii="仿宋_GB2312" w:hAnsi="仿宋_GB2312" w:eastAsia="仿宋_GB2312" w:cs="仿宋_GB2312"/>
          <w:kern w:val="0"/>
          <w:sz w:val="32"/>
          <w:szCs w:val="32"/>
          <w:highlight w:val="none"/>
          <w:shd w:val="clear" w:fill="DADADA" w:themeFill="accent3" w:themeFillTint="66"/>
          <w:lang w:val="en-US" w:eastAsia="zh-CN" w:bidi="ar"/>
        </w:rPr>
        <w:t>统筹地区经办机构</w:t>
      </w:r>
      <w:r>
        <w:rPr>
          <w:rFonts w:hint="eastAsia" w:ascii="仿宋_GB2312" w:hAnsi="仿宋_GB2312" w:eastAsia="仿宋_GB2312" w:cs="仿宋_GB2312"/>
          <w:kern w:val="0"/>
          <w:sz w:val="32"/>
          <w:szCs w:val="32"/>
          <w:lang w:val="en-US" w:eastAsia="zh-CN" w:bidi="ar"/>
        </w:rPr>
        <w:t>书面同意，不得向任何机构或个人提供参保人员隐私信息（法律有规定的除外）。</w:t>
      </w:r>
    </w:p>
    <w:p w14:paraId="449775E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0"/>
          <w:sz w:val="32"/>
          <w:szCs w:val="32"/>
          <w:highlight w:val="none"/>
          <w:shd w:val="clear" w:fill="DADADA" w:themeFill="accent3" w:themeFillTint="66"/>
          <w:lang w:val="en-US" w:eastAsia="zh-CN" w:bidi="ar"/>
        </w:rPr>
      </w:pPr>
      <w:r>
        <w:rPr>
          <w:rFonts w:hint="eastAsia" w:ascii="仿宋_GB2312" w:hAnsi="仿宋_GB2312" w:eastAsia="仿宋_GB2312" w:cs="仿宋_GB2312"/>
          <w:b/>
          <w:bCs/>
          <w:kern w:val="0"/>
          <w:sz w:val="32"/>
          <w:szCs w:val="32"/>
          <w:lang w:val="en-US" w:eastAsia="zh-CN" w:bidi="ar"/>
        </w:rPr>
        <w:t>第二十四条</w:t>
      </w:r>
      <w:r>
        <w:rPr>
          <w:rFonts w:hint="eastAsia" w:ascii="仿宋_GB2312" w:hAnsi="仿宋_GB2312" w:eastAsia="仿宋_GB2312" w:cs="仿宋_GB2312"/>
          <w:kern w:val="0"/>
          <w:sz w:val="32"/>
          <w:szCs w:val="32"/>
          <w:lang w:val="en-US" w:eastAsia="zh-CN" w:bidi="ar"/>
        </w:rPr>
        <w:t xml:space="preserve"> 定点评估机构应使用全省统一的医保信息平台长期护理保险失能等级评估相关功能模块和信息业务编码，做好定点评估机构和评估人员编码信息动态维护工作。</w:t>
      </w:r>
      <w:r>
        <w:rPr>
          <w:rFonts w:hint="eastAsia" w:ascii="仿宋_GB2312" w:hAnsi="仿宋_GB2312" w:eastAsia="仿宋_GB2312" w:cs="仿宋_GB2312"/>
          <w:kern w:val="0"/>
          <w:sz w:val="32"/>
          <w:szCs w:val="32"/>
          <w:highlight w:val="none"/>
          <w:shd w:val="clear" w:fill="DADADA" w:themeFill="accent3" w:themeFillTint="66"/>
          <w:lang w:val="en-US" w:eastAsia="zh-CN" w:bidi="ar"/>
        </w:rPr>
        <w:t>自建失能等级评估管理系统的试点地区的，承担失能等级评估工作的机构应尽快与全国统一的医保信息平台对接，进行数据信息的管理与传输。</w:t>
      </w:r>
    </w:p>
    <w:p w14:paraId="424ADF5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 xml:space="preserve">第二十五条 </w:t>
      </w:r>
      <w:r>
        <w:rPr>
          <w:rFonts w:hint="eastAsia" w:ascii="仿宋_GB2312" w:hAnsi="仿宋_GB2312" w:eastAsia="仿宋_GB2312" w:cs="仿宋_GB2312"/>
          <w:kern w:val="0"/>
          <w:sz w:val="32"/>
          <w:szCs w:val="32"/>
          <w:lang w:val="en-US" w:eastAsia="zh-CN" w:bidi="ar"/>
        </w:rPr>
        <w:t>定点评估机构应配合医疗保障经办机构的日常检查、评估结论抽审、考核评价等工作，接受医疗保障行政部门的监督检查，并按规定提供相关材料。</w:t>
      </w:r>
    </w:p>
    <w:p w14:paraId="30CEE1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第二十六条</w:t>
      </w:r>
      <w:r>
        <w:rPr>
          <w:rFonts w:hint="eastAsia" w:ascii="仿宋_GB2312" w:hAnsi="仿宋_GB2312" w:eastAsia="仿宋_GB2312" w:cs="仿宋_GB2312"/>
          <w:b/>
          <w:bCs/>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定点评估机构的名称、法定代表人、主要负责人或实际控制人、注册地址、银行账户、经营范围、机构性质等重大信息变更时，应自有关部门批准之日起30个工作日内，向所在统筹区医疗保障经办机构提出变更申请。其他一般信息变更应及时告知。定点评估机构因违法违规被调查、处理期间不得申请变更信息。信息变更后，定点评估机构不符合本实施细则规定的，应当解除评估服务协议。</w:t>
      </w:r>
    </w:p>
    <w:p w14:paraId="476CDB2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第二十七条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highlight w:val="none"/>
          <w:shd w:val="clear" w:fill="DADADA" w:themeFill="accent3" w:themeFillTint="66"/>
          <w:lang w:val="en-US" w:eastAsia="zh-CN" w:bidi="ar"/>
        </w:rPr>
        <w:t>定点评估机构按规定悬挂统一的定点评估机构标识。标牌样式由统筹地区经办机构确定。</w:t>
      </w:r>
    </w:p>
    <w:p w14:paraId="7286AD5D">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经办服务管理</w:t>
      </w:r>
    </w:p>
    <w:p w14:paraId="61B7A8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第二十八条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highlight w:val="none"/>
          <w:shd w:val="clear" w:fill="DADADA" w:themeFill="accent3" w:themeFillTint="66"/>
          <w:lang w:val="en-US" w:eastAsia="zh-CN" w:bidi="ar"/>
        </w:rPr>
        <w:t>统筹地区经办机构可按照规定通过公开招标等方式选择第三方机构等社会力量参与长期护理保险经办服务，并与第三方机构签订合同，明确服务内容、责任、考核等。但定点评估机构确定、费用终审、考核评估等核心业务应当以统筹地区经办机构为主导完成。</w:t>
      </w:r>
    </w:p>
    <w:p w14:paraId="36D290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0"/>
          <w:sz w:val="32"/>
          <w:szCs w:val="32"/>
          <w:highlight w:val="none"/>
          <w:shd w:val="clear" w:fill="DADADA" w:themeFill="accent3" w:themeFillTint="66"/>
          <w:lang w:val="en-US" w:eastAsia="zh-CN" w:bidi="ar"/>
        </w:rPr>
      </w:pPr>
      <w:r>
        <w:rPr>
          <w:rFonts w:hint="eastAsia" w:ascii="仿宋_GB2312" w:hAnsi="仿宋_GB2312" w:eastAsia="仿宋_GB2312" w:cs="仿宋_GB2312"/>
          <w:b/>
          <w:bCs/>
          <w:kern w:val="0"/>
          <w:sz w:val="32"/>
          <w:szCs w:val="32"/>
          <w:lang w:val="en-US" w:eastAsia="zh-CN" w:bidi="ar"/>
        </w:rPr>
        <w:t xml:space="preserve">第二十九条 </w:t>
      </w:r>
      <w:r>
        <w:rPr>
          <w:rFonts w:hint="eastAsia" w:ascii="仿宋_GB2312" w:hAnsi="仿宋_GB2312" w:eastAsia="仿宋_GB2312" w:cs="仿宋_GB2312"/>
          <w:kern w:val="0"/>
          <w:sz w:val="32"/>
          <w:szCs w:val="32"/>
          <w:highlight w:val="none"/>
          <w:shd w:val="clear" w:fill="DADADA" w:themeFill="accent3" w:themeFillTint="66"/>
          <w:lang w:val="en-US" w:eastAsia="zh-CN" w:bidi="ar"/>
        </w:rPr>
        <w:t>统筹地区经办机构接到参保人员评估申请后，应及时对申请材料进行审核并反馈受理审核结果，</w:t>
      </w:r>
      <w:r>
        <w:rPr>
          <w:rFonts w:hint="eastAsia" w:ascii="仿宋_GB2312" w:hAnsi="仿宋_GB2312" w:eastAsia="仿宋_GB2312" w:cs="仿宋_GB2312"/>
          <w:kern w:val="0"/>
          <w:sz w:val="32"/>
          <w:szCs w:val="32"/>
          <w:lang w:val="en-US" w:eastAsia="zh-CN" w:bidi="ar"/>
        </w:rPr>
        <w:t>审核未通过的，应当及时告知并说明理由；</w:t>
      </w:r>
      <w:r>
        <w:rPr>
          <w:rFonts w:hint="eastAsia" w:ascii="仿宋_GB2312" w:hAnsi="仿宋_GB2312" w:eastAsia="仿宋_GB2312" w:cs="仿宋_GB2312"/>
          <w:kern w:val="0"/>
          <w:sz w:val="32"/>
          <w:szCs w:val="32"/>
          <w:highlight w:val="none"/>
          <w:shd w:val="clear" w:fill="DADADA" w:themeFill="accent3" w:themeFillTint="66"/>
          <w:lang w:val="en-US" w:eastAsia="zh-CN" w:bidi="ar"/>
        </w:rPr>
        <w:t>审核通过的，要及时向定点评估机构进行派单</w:t>
      </w:r>
      <w:r>
        <w:rPr>
          <w:rFonts w:hint="default" w:ascii="仿宋_GB2312" w:hAnsi="仿宋_GB2312" w:eastAsia="仿宋_GB2312" w:cs="仿宋_GB2312"/>
          <w:kern w:val="0"/>
          <w:sz w:val="32"/>
          <w:szCs w:val="32"/>
          <w:highlight w:val="none"/>
          <w:shd w:val="clear" w:fill="DADADA" w:themeFill="accent3" w:themeFillTint="66"/>
          <w:lang w:val="en-US" w:eastAsia="zh-CN" w:bidi="ar"/>
        </w:rPr>
        <w:t>。</w:t>
      </w:r>
    </w:p>
    <w:p w14:paraId="64E8C70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 xml:space="preserve">第三十条 </w:t>
      </w:r>
      <w:r>
        <w:rPr>
          <w:rFonts w:hint="eastAsia" w:ascii="仿宋_GB2312" w:hAnsi="仿宋_GB2312" w:eastAsia="仿宋_GB2312" w:cs="仿宋_GB2312"/>
          <w:kern w:val="0"/>
          <w:sz w:val="32"/>
          <w:szCs w:val="32"/>
          <w:highlight w:val="none"/>
          <w:shd w:val="clear" w:fill="DADADA" w:themeFill="accent3" w:themeFillTint="66"/>
          <w:lang w:val="en-US" w:eastAsia="zh-CN" w:bidi="ar"/>
        </w:rPr>
        <w:t>统筹地区经办机构应建立评估人员库，完善档案制度，定期组织考核，明确准入退出机制，按照“统一标准、区域共用、随机抽取、动态管理”的原则进行管理和使用。</w:t>
      </w:r>
    </w:p>
    <w:p w14:paraId="1A6E99E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kern w:val="0"/>
          <w:sz w:val="32"/>
          <w:szCs w:val="32"/>
          <w:highlight w:val="none"/>
          <w:shd w:val="clear" w:fill="DADADA" w:themeFill="accent3" w:themeFillTint="66"/>
          <w:lang w:val="en-US" w:eastAsia="zh-CN" w:bidi="ar"/>
        </w:rPr>
      </w:pPr>
      <w:r>
        <w:rPr>
          <w:rFonts w:hint="eastAsia" w:ascii="仿宋_GB2312" w:hAnsi="仿宋_GB2312" w:eastAsia="仿宋_GB2312" w:cs="仿宋_GB2312"/>
          <w:b/>
          <w:bCs/>
          <w:kern w:val="0"/>
          <w:sz w:val="32"/>
          <w:szCs w:val="32"/>
          <w:lang w:val="en-US" w:eastAsia="zh-CN" w:bidi="ar"/>
        </w:rPr>
        <w:t xml:space="preserve">第三十一条 </w:t>
      </w:r>
      <w:r>
        <w:rPr>
          <w:rFonts w:hint="eastAsia" w:ascii="仿宋_GB2312" w:hAnsi="仿宋_GB2312" w:eastAsia="仿宋_GB2312" w:cs="仿宋_GB2312"/>
          <w:kern w:val="0"/>
          <w:sz w:val="32"/>
          <w:szCs w:val="32"/>
          <w:highlight w:val="none"/>
          <w:shd w:val="clear" w:fill="DADADA" w:themeFill="accent3" w:themeFillTint="66"/>
          <w:lang w:val="en-US" w:eastAsia="zh-CN" w:bidi="ar"/>
        </w:rPr>
        <w:t>统筹地区经办机构应根据长期护理保险基金收支情况、评估经营成本、评估市场规模等情况，合理确定各类型评估费用、人员资质并进行动态调整。同时建立初次评估、状态变化评估、届满评估、争议复评、抽查复评、稽核复评等不同评估类型下，评估费用科学合理分担机制。评估费用中按规定应当由长期护理保险基金支付的部分，由统筹地区经办机构审核后，与定点评估机构直接结算。</w:t>
      </w:r>
    </w:p>
    <w:p w14:paraId="54C0AAE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kern w:val="0"/>
          <w:sz w:val="32"/>
          <w:szCs w:val="32"/>
          <w:lang w:val="en-US" w:eastAsia="zh-CN" w:bidi="ar"/>
        </w:rPr>
        <w:t xml:space="preserve">第三十二条 </w:t>
      </w:r>
      <w:r>
        <w:rPr>
          <w:rFonts w:hint="eastAsia" w:ascii="仿宋_GB2312" w:hAnsi="仿宋_GB2312" w:eastAsia="仿宋_GB2312" w:cs="仿宋_GB2312"/>
          <w:kern w:val="0"/>
          <w:sz w:val="32"/>
          <w:szCs w:val="32"/>
          <w:highlight w:val="none"/>
          <w:shd w:val="clear" w:fill="DADADA" w:themeFill="accent3" w:themeFillTint="66"/>
          <w:lang w:val="en-US" w:eastAsia="zh-CN" w:bidi="ar"/>
        </w:rPr>
        <w:t>统筹地区经办机构应当规范服务管理行为，优化定点申请、综合审核和协议管理等经办流程，对定点评估机构进行长期护理保险政策、定点管理有关规定等的宣传培训，为定点评估机构和参保人员提供优质高效的经办服务。</w:t>
      </w:r>
    </w:p>
    <w:p w14:paraId="267E61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 xml:space="preserve">第三十三条 </w:t>
      </w:r>
      <w:r>
        <w:rPr>
          <w:rFonts w:hint="eastAsia" w:ascii="仿宋_GB2312" w:hAnsi="仿宋_GB2312" w:eastAsia="仿宋_GB2312" w:cs="仿宋_GB2312"/>
          <w:kern w:val="0"/>
          <w:sz w:val="32"/>
          <w:szCs w:val="32"/>
          <w:highlight w:val="none"/>
          <w:shd w:val="clear" w:fill="DADADA" w:themeFill="accent3" w:themeFillTint="66"/>
          <w:lang w:val="en-US" w:eastAsia="zh-CN" w:bidi="ar"/>
        </w:rPr>
        <w:t>统筹地区经办机构应当建立健全内部控制制度，明确定点评估机构确定、费用审核、结算拨付等岗位责任，建立完善风险防控机制。</w:t>
      </w:r>
    </w:p>
    <w:p w14:paraId="153D692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 xml:space="preserve">第三十四条 </w:t>
      </w:r>
      <w:r>
        <w:rPr>
          <w:rFonts w:hint="eastAsia" w:ascii="仿宋_GB2312" w:hAnsi="仿宋_GB2312" w:eastAsia="仿宋_GB2312" w:cs="仿宋_GB2312"/>
          <w:kern w:val="0"/>
          <w:sz w:val="32"/>
          <w:szCs w:val="32"/>
          <w:highlight w:val="none"/>
          <w:shd w:val="clear" w:fill="DADADA" w:themeFill="accent3" w:themeFillTint="66"/>
          <w:lang w:val="en-US" w:eastAsia="zh-CN" w:bidi="ar"/>
        </w:rPr>
        <w:t>统筹地区经办机构</w:t>
      </w:r>
      <w:r>
        <w:rPr>
          <w:rFonts w:hint="eastAsia" w:ascii="仿宋_GB2312" w:hAnsi="仿宋_GB2312" w:eastAsia="仿宋_GB2312" w:cs="仿宋_GB2312"/>
          <w:i w:val="0"/>
          <w:iCs w:val="0"/>
          <w:sz w:val="32"/>
          <w:szCs w:val="32"/>
          <w:highlight w:val="none"/>
          <w:lang w:val="en-US" w:eastAsia="zh-CN"/>
        </w:rPr>
        <w:t>在</w:t>
      </w:r>
      <w:r>
        <w:rPr>
          <w:rFonts w:hint="eastAsia" w:ascii="仿宋_GB2312" w:hAnsi="仿宋_GB2312" w:eastAsia="仿宋_GB2312" w:cs="仿宋_GB2312"/>
          <w:kern w:val="0"/>
          <w:sz w:val="32"/>
          <w:szCs w:val="32"/>
          <w:lang w:val="en-US" w:eastAsia="zh-CN" w:bidi="ar"/>
        </w:rPr>
        <w:t>评估服务协议中应明确评估服务协议续签、中止、解除等措施的适用情形、具体处理程序要求等，建立动态准入退出机制。</w:t>
      </w:r>
    </w:p>
    <w:p w14:paraId="22708F4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第三十五条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highlight w:val="none"/>
          <w:shd w:val="clear" w:fill="DADADA" w:themeFill="accent3" w:themeFillTint="66"/>
          <w:lang w:val="en-US" w:eastAsia="zh-CN" w:bidi="ar"/>
        </w:rPr>
        <w:t>统筹地区经办机构</w:t>
      </w:r>
      <w:r>
        <w:rPr>
          <w:rFonts w:hint="eastAsia" w:ascii="仿宋_GB2312" w:hAnsi="仿宋_GB2312" w:eastAsia="仿宋_GB2312" w:cs="仿宋_GB2312"/>
          <w:kern w:val="0"/>
          <w:sz w:val="32"/>
          <w:szCs w:val="32"/>
          <w:lang w:val="en-US" w:eastAsia="zh-CN" w:bidi="ar"/>
        </w:rPr>
        <w:t>应对定点评估机构协议履行、评估质量等情况开展考核评价，重点将评估程序规范性、结论准确性、举报投诉处理情况等纳入考核范围，考核结果与评估服务协议续签、服务费用结算等挂钩。考核评价办法由地市级医疗保障行政部门制定。</w:t>
      </w:r>
    </w:p>
    <w:p w14:paraId="413C6E3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 </w:t>
      </w:r>
    </w:p>
    <w:p w14:paraId="7BCD5C5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仿宋_GB2312" w:hAnsi="仿宋_GB2312" w:eastAsia="仿宋_GB2312" w:cs="仿宋_GB2312"/>
          <w:kern w:val="0"/>
          <w:sz w:val="32"/>
          <w:szCs w:val="32"/>
          <w:lang w:val="en-US" w:eastAsia="zh-CN" w:bidi="ar"/>
        </w:rPr>
      </w:pPr>
      <w:r>
        <w:rPr>
          <w:rFonts w:hint="eastAsia" w:ascii="黑体" w:hAnsi="黑体" w:eastAsia="黑体" w:cs="黑体"/>
          <w:b w:val="0"/>
          <w:bCs w:val="0"/>
          <w:kern w:val="0"/>
          <w:sz w:val="32"/>
          <w:szCs w:val="32"/>
          <w:lang w:val="en-US" w:eastAsia="zh-CN" w:bidi="ar"/>
        </w:rPr>
        <w:t>第五章 监督管理</w:t>
      </w:r>
    </w:p>
    <w:p w14:paraId="38487D2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第三十六条</w:t>
      </w:r>
      <w:r>
        <w:rPr>
          <w:rFonts w:hint="eastAsia" w:ascii="仿宋_GB2312" w:hAnsi="仿宋_GB2312" w:eastAsia="仿宋_GB2312" w:cs="仿宋_GB2312"/>
          <w:kern w:val="0"/>
          <w:sz w:val="32"/>
          <w:szCs w:val="32"/>
          <w:lang w:val="en-US" w:eastAsia="zh-CN" w:bidi="ar"/>
        </w:rPr>
        <w:t xml:space="preserve"> 统筹地区医疗保障行政部门通过实地检查、抽查、智能监控等方式，对定点评估机构协议履行情况进行监督，对医疗保障经办机构工作进行指导和监督。发现定点评估机构存在违约情形的，应当及时责令医疗保障经办机构按照评估服务协议处理。属于法律、法规和规章规定范畴的，依法给予行政处罚。涉嫌违法犯罪的，依法移送司法机关处理。</w:t>
      </w:r>
    </w:p>
    <w:p w14:paraId="1473799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第三十七条 </w:t>
      </w:r>
      <w:r>
        <w:rPr>
          <w:rFonts w:hint="eastAsia" w:ascii="仿宋_GB2312" w:hAnsi="仿宋_GB2312" w:eastAsia="仿宋_GB2312" w:cs="仿宋_GB2312"/>
          <w:kern w:val="0"/>
          <w:sz w:val="32"/>
          <w:szCs w:val="32"/>
          <w:highlight w:val="none"/>
          <w:shd w:val="clear" w:fill="DADADA" w:themeFill="accent3" w:themeFillTint="66"/>
          <w:lang w:val="en-US" w:eastAsia="zh-CN" w:bidi="ar"/>
        </w:rPr>
        <w:t>统筹地区经办机构</w:t>
      </w:r>
      <w:r>
        <w:rPr>
          <w:rFonts w:hint="eastAsia" w:ascii="仿宋_GB2312" w:hAnsi="仿宋_GB2312" w:eastAsia="仿宋_GB2312" w:cs="仿宋_GB2312"/>
          <w:kern w:val="0"/>
          <w:sz w:val="32"/>
          <w:szCs w:val="32"/>
          <w:lang w:val="en-US" w:eastAsia="zh-CN" w:bidi="ar"/>
        </w:rPr>
        <w:t>应结合日常检查、质量管理、投诉举报等情况，综合利用信息技术等手段，组织对定点评估机构和评估人员进行履约管理。发现违约行为的，应当按照评估服务协议及时处理。</w:t>
      </w:r>
      <w:r>
        <w:rPr>
          <w:rFonts w:hint="eastAsia" w:ascii="仿宋_GB2312" w:hAnsi="仿宋_GB2312" w:eastAsia="仿宋_GB2312" w:cs="仿宋_GB2312"/>
          <w:kern w:val="0"/>
          <w:sz w:val="32"/>
          <w:szCs w:val="32"/>
          <w:highlight w:val="none"/>
          <w:shd w:val="clear" w:fill="DADADA" w:themeFill="accent3" w:themeFillTint="66"/>
          <w:lang w:val="en-US" w:eastAsia="zh-CN" w:bidi="ar"/>
        </w:rPr>
        <w:t>统筹地区经办机构</w:t>
      </w:r>
      <w:r>
        <w:rPr>
          <w:rFonts w:hint="eastAsia" w:ascii="仿宋_GB2312" w:hAnsi="仿宋_GB2312" w:eastAsia="仿宋_GB2312" w:cs="仿宋_GB2312"/>
          <w:kern w:val="0"/>
          <w:sz w:val="32"/>
          <w:szCs w:val="32"/>
          <w:lang w:val="en-US" w:eastAsia="zh-CN" w:bidi="ar"/>
        </w:rPr>
        <w:t>作出中止或解除评估服务协议等处理时，</w:t>
      </w:r>
      <w:r>
        <w:rPr>
          <w:rFonts w:hint="eastAsia" w:ascii="仿宋_GB2312" w:hAnsi="仿宋_GB2312" w:eastAsia="仿宋_GB2312" w:cs="仿宋_GB2312"/>
          <w:kern w:val="0"/>
          <w:sz w:val="32"/>
          <w:szCs w:val="32"/>
          <w:highlight w:val="none"/>
          <w:shd w:val="clear" w:fill="DADADA" w:themeFill="accent3" w:themeFillTint="66"/>
          <w:lang w:val="en-US" w:eastAsia="zh-CN" w:bidi="ar"/>
        </w:rPr>
        <w:t>应当报</w:t>
      </w:r>
      <w:r>
        <w:rPr>
          <w:rFonts w:hint="eastAsia" w:ascii="仿宋_GB2312" w:hAnsi="仿宋_GB2312" w:eastAsia="仿宋_GB2312" w:cs="仿宋_GB2312"/>
          <w:kern w:val="0"/>
          <w:sz w:val="32"/>
          <w:szCs w:val="32"/>
          <w:lang w:val="en-US" w:eastAsia="zh-CN" w:bidi="ar"/>
        </w:rPr>
        <w:t>同级医疗保障行政部门</w:t>
      </w:r>
      <w:r>
        <w:rPr>
          <w:rFonts w:hint="eastAsia" w:ascii="仿宋_GB2312" w:hAnsi="仿宋_GB2312" w:eastAsia="仿宋_GB2312" w:cs="仿宋_GB2312"/>
          <w:kern w:val="0"/>
          <w:sz w:val="32"/>
          <w:szCs w:val="32"/>
          <w:highlight w:val="none"/>
          <w:shd w:val="clear" w:fill="DADADA" w:themeFill="accent3" w:themeFillTint="66"/>
          <w:lang w:val="en-US" w:eastAsia="zh-CN" w:bidi="ar"/>
        </w:rPr>
        <w:t>备案</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b/>
          <w:bCs/>
          <w:kern w:val="0"/>
          <w:sz w:val="32"/>
          <w:szCs w:val="32"/>
          <w:lang w:val="en-US" w:eastAsia="zh-CN" w:bidi="ar"/>
        </w:rPr>
        <w:t> </w:t>
      </w:r>
    </w:p>
    <w:p w14:paraId="310FC4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 xml:space="preserve">第三十八条 </w:t>
      </w:r>
      <w:r>
        <w:rPr>
          <w:rFonts w:hint="eastAsia" w:ascii="仿宋_GB2312" w:hAnsi="仿宋_GB2312" w:eastAsia="仿宋_GB2312" w:cs="仿宋_GB2312"/>
          <w:kern w:val="0"/>
          <w:sz w:val="32"/>
          <w:szCs w:val="32"/>
          <w:lang w:val="en-US" w:eastAsia="zh-CN" w:bidi="ar"/>
        </w:rPr>
        <w:t>统筹地区医疗保障行政部门和经办机构应拓宽监督途径、创新监督方式，通过满意度调查、第三方评价、聘请社会监督员等方式，对定点评估机构进行监督，畅通投诉举报渠道，及时发现问题并进行处理。</w:t>
      </w:r>
    </w:p>
    <w:p w14:paraId="7A9597F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第五章 附则</w:t>
      </w:r>
    </w:p>
    <w:p w14:paraId="1EB4CF6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第三十九条</w:t>
      </w:r>
      <w:r>
        <w:rPr>
          <w:rFonts w:hint="eastAsia" w:ascii="仿宋_GB2312" w:hAnsi="仿宋_GB2312" w:eastAsia="仿宋_GB2312" w:cs="仿宋_GB2312"/>
          <w:kern w:val="0"/>
          <w:sz w:val="32"/>
          <w:szCs w:val="32"/>
          <w:lang w:val="en-US" w:eastAsia="zh-CN" w:bidi="ar"/>
        </w:rPr>
        <w:t xml:space="preserve"> 依托医疗机构、劳动能力鉴定机构、商业保险机构等实施评估的，对相关机构的管理，参照本实施细则执行。</w:t>
      </w:r>
    </w:p>
    <w:p w14:paraId="63013D4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第四十条</w:t>
      </w:r>
      <w:r>
        <w:rPr>
          <w:rFonts w:hint="eastAsia" w:ascii="仿宋_GB2312" w:hAnsi="仿宋_GB2312" w:eastAsia="仿宋_GB2312" w:cs="仿宋_GB2312"/>
          <w:kern w:val="0"/>
          <w:sz w:val="32"/>
          <w:szCs w:val="32"/>
          <w:lang w:val="en-US" w:eastAsia="zh-CN" w:bidi="ar"/>
        </w:rPr>
        <w:t xml:space="preserve"> 本</w:t>
      </w:r>
      <w:bookmarkStart w:id="1" w:name="OLE_LINK3"/>
      <w:r>
        <w:rPr>
          <w:rFonts w:hint="eastAsia" w:ascii="仿宋_GB2312" w:hAnsi="仿宋_GB2312" w:eastAsia="仿宋_GB2312" w:cs="仿宋_GB2312"/>
          <w:kern w:val="0"/>
          <w:sz w:val="32"/>
          <w:szCs w:val="32"/>
          <w:lang w:val="en-US" w:eastAsia="zh-CN" w:bidi="ar"/>
        </w:rPr>
        <w:t>实施细则</w:t>
      </w:r>
      <w:bookmarkEnd w:id="1"/>
      <w:r>
        <w:rPr>
          <w:rFonts w:hint="eastAsia" w:ascii="仿宋_GB2312" w:hAnsi="仿宋_GB2312" w:eastAsia="仿宋_GB2312" w:cs="仿宋_GB2312"/>
          <w:kern w:val="0"/>
          <w:sz w:val="32"/>
          <w:szCs w:val="32"/>
          <w:lang w:val="en-US" w:eastAsia="zh-CN" w:bidi="ar"/>
        </w:rPr>
        <w:t>由陕西省医疗保障局负责解释，自印发之日起施行。</w:t>
      </w:r>
    </w:p>
    <w:p w14:paraId="7A06B70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kern w:val="0"/>
          <w:sz w:val="32"/>
          <w:szCs w:val="32"/>
          <w:lang w:val="en-US" w:eastAsia="zh-CN" w:bidi="ar"/>
        </w:rPr>
      </w:pPr>
    </w:p>
    <w:p w14:paraId="6122865A">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华文楷体" w:hAnsi="华文楷体" w:eastAsia="华文楷体" w:cs="华文楷体"/>
          <w:b w:val="0"/>
          <w:bCs w:val="0"/>
          <w:sz w:val="32"/>
          <w:szCs w:val="32"/>
        </w:rPr>
      </w:pPr>
      <w:r>
        <w:rPr>
          <w:rFonts w:hint="eastAsia" w:ascii="仿宋_GB2312" w:hAnsi="仿宋_GB2312" w:eastAsia="仿宋_GB2312" w:cs="仿宋_GB2312"/>
          <w:b w:val="0"/>
          <w:bCs w:val="0"/>
          <w:i w:val="0"/>
          <w:iCs w:val="0"/>
          <w:kern w:val="2"/>
          <w:sz w:val="32"/>
          <w:szCs w:val="32"/>
          <w:highlight w:val="none"/>
          <w:lang w:val="en-US" w:eastAsia="zh-CN" w:bidi="ar-SA"/>
        </w:rPr>
        <w:t>附件：陕西省</w:t>
      </w:r>
      <w:r>
        <w:rPr>
          <w:rFonts w:hint="eastAsia" w:ascii="仿宋_GB2312" w:hAnsi="仿宋_GB2312" w:eastAsia="仿宋_GB2312" w:cs="仿宋_GB2312"/>
          <w:b w:val="0"/>
          <w:bCs w:val="0"/>
          <w:kern w:val="0"/>
          <w:sz w:val="32"/>
          <w:szCs w:val="32"/>
          <w:lang w:val="en-US" w:eastAsia="zh-CN" w:bidi="ar"/>
        </w:rPr>
        <w:t>长期护理保险失能等级定点评估机构申请表</w:t>
      </w:r>
    </w:p>
    <w:p w14:paraId="14652536">
      <w:pPr>
        <w:pStyle w:val="6"/>
        <w:ind w:firstLine="640" w:firstLineChars="200"/>
        <w:rPr>
          <w:rFonts w:hint="eastAsia" w:ascii="仿宋_GB2312" w:hAnsi="仿宋_GB2312" w:eastAsia="仿宋_GB2312" w:cs="仿宋_GB2312"/>
          <w:i w:val="0"/>
          <w:iCs w:val="0"/>
          <w:kern w:val="2"/>
          <w:sz w:val="32"/>
          <w:szCs w:val="32"/>
          <w:highlight w:val="none"/>
          <w:lang w:val="en-US" w:eastAsia="zh-CN" w:bidi="ar-SA"/>
        </w:rPr>
      </w:pPr>
    </w:p>
    <w:p w14:paraId="3B187CC7">
      <w:pP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br w:type="page"/>
      </w:r>
    </w:p>
    <w:p w14:paraId="6D5A34FE">
      <w:pPr>
        <w:pStyle w:val="14"/>
        <w:ind w:left="0" w:leftChars="0" w:firstLine="0" w:firstLineChars="0"/>
        <w:jc w:val="left"/>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w:t>
      </w:r>
    </w:p>
    <w:p w14:paraId="0C78F3B3">
      <w:pPr>
        <w:pStyle w:val="14"/>
        <w:ind w:left="0" w:leftChars="0" w:firstLine="0" w:firstLineChars="0"/>
        <w:jc w:val="center"/>
        <w:rPr>
          <w:rFonts w:hint="eastAsia" w:eastAsia="宋体"/>
          <w:lang w:val="en-US" w:eastAsia="zh-CN"/>
        </w:rPr>
      </w:pPr>
      <w:r>
        <w:rPr>
          <w:rFonts w:hint="eastAsia" w:ascii="方正小标宋简体" w:hAnsi="方正小标宋简体" w:eastAsia="方正小标宋简体" w:cs="方正小标宋简体"/>
          <w:sz w:val="44"/>
          <w:szCs w:val="44"/>
        </w:rPr>
        <w:t>长期护理保险失能等级定点评估机构申请</w:t>
      </w:r>
      <w:bookmarkStart w:id="2" w:name="抄送"/>
      <w:bookmarkEnd w:id="2"/>
      <w:r>
        <w:rPr>
          <w:rFonts w:hint="eastAsia" w:ascii="方正小标宋简体" w:hAnsi="方正小标宋简体" w:eastAsia="方正小标宋简体" w:cs="方正小标宋简体"/>
          <w:sz w:val="44"/>
          <w:szCs w:val="44"/>
          <w:lang w:val="en-US" w:eastAsia="zh-CN"/>
        </w:rPr>
        <w:t>表</w:t>
      </w:r>
    </w:p>
    <w:tbl>
      <w:tblPr>
        <w:tblStyle w:val="11"/>
        <w:tblpPr w:vertAnchor="text"/>
        <w:tblW w:w="4998" w:type="pct"/>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86" w:type="dxa"/>
          <w:bottom w:w="43" w:type="dxa"/>
          <w:right w:w="86" w:type="dxa"/>
        </w:tblCellMar>
      </w:tblPr>
      <w:tblGrid>
        <w:gridCol w:w="1656"/>
        <w:gridCol w:w="1656"/>
        <w:gridCol w:w="1455"/>
        <w:gridCol w:w="1119"/>
        <w:gridCol w:w="1201"/>
        <w:gridCol w:w="1953"/>
      </w:tblGrid>
      <w:tr w14:paraId="46EBB6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86" w:type="dxa"/>
            <w:bottom w:w="43" w:type="dxa"/>
            <w:right w:w="86" w:type="dxa"/>
          </w:tblCellMar>
        </w:tblPrEx>
        <w:trPr>
          <w:trHeight w:val="366" w:hRule="atLeast"/>
        </w:trPr>
        <w:tc>
          <w:tcPr>
            <w:tcW w:w="916"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2A4003AE">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单位名称</w:t>
            </w:r>
          </w:p>
        </w:tc>
        <w:tc>
          <w:tcPr>
            <w:tcW w:w="4083" w:type="pct"/>
            <w:gridSpan w:val="5"/>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79D78823">
            <w:pPr>
              <w:keepNext w:val="0"/>
              <w:keepLines w:val="0"/>
              <w:widowControl/>
              <w:suppressLineNumbers w:val="0"/>
              <w:wordWrap w:val="0"/>
              <w:jc w:val="center"/>
              <w:rPr>
                <w:rFonts w:hint="eastAsia" w:ascii="仿宋_GB2312" w:hAnsi="仿宋_GB2312" w:eastAsia="仿宋_GB2312" w:cs="仿宋_GB2312"/>
                <w:i w:val="0"/>
                <w:iCs w:val="0"/>
                <w:caps w:val="0"/>
                <w:color w:val="000000"/>
                <w:spacing w:val="0"/>
                <w:sz w:val="24"/>
                <w:szCs w:val="24"/>
              </w:rPr>
            </w:pPr>
          </w:p>
        </w:tc>
      </w:tr>
      <w:tr w14:paraId="25EE6D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86" w:type="dxa"/>
            <w:bottom w:w="43" w:type="dxa"/>
            <w:right w:w="86" w:type="dxa"/>
          </w:tblCellMar>
        </w:tblPrEx>
        <w:trPr>
          <w:trHeight w:val="410" w:hRule="atLeast"/>
        </w:trPr>
        <w:tc>
          <w:tcPr>
            <w:tcW w:w="916"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65C3522E">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单位地址</w:t>
            </w:r>
          </w:p>
        </w:tc>
        <w:tc>
          <w:tcPr>
            <w:tcW w:w="4083" w:type="pct"/>
            <w:gridSpan w:val="5"/>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7FC156ED">
            <w:pPr>
              <w:keepNext w:val="0"/>
              <w:keepLines w:val="0"/>
              <w:widowControl/>
              <w:suppressLineNumbers w:val="0"/>
              <w:wordWrap w:val="0"/>
              <w:jc w:val="center"/>
              <w:rPr>
                <w:rFonts w:hint="eastAsia" w:ascii="仿宋_GB2312" w:hAnsi="仿宋_GB2312" w:eastAsia="仿宋_GB2312" w:cs="仿宋_GB2312"/>
                <w:i w:val="0"/>
                <w:iCs w:val="0"/>
                <w:caps w:val="0"/>
                <w:color w:val="000000"/>
                <w:spacing w:val="0"/>
                <w:sz w:val="24"/>
                <w:szCs w:val="24"/>
              </w:rPr>
            </w:pPr>
          </w:p>
        </w:tc>
      </w:tr>
      <w:tr w14:paraId="0F6607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86" w:type="dxa"/>
            <w:bottom w:w="43" w:type="dxa"/>
            <w:right w:w="86" w:type="dxa"/>
          </w:tblCellMar>
        </w:tblPrEx>
        <w:trPr>
          <w:trHeight w:val="90" w:hRule="atLeast"/>
        </w:trPr>
        <w:tc>
          <w:tcPr>
            <w:tcW w:w="916"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1E7B9C5F">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法定代表人</w:t>
            </w:r>
          </w:p>
        </w:tc>
        <w:tc>
          <w:tcPr>
            <w:tcW w:w="916"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27EB43DE">
            <w:pPr>
              <w:keepNext w:val="0"/>
              <w:keepLines w:val="0"/>
              <w:widowControl/>
              <w:suppressLineNumbers w:val="0"/>
              <w:wordWrap w:val="0"/>
              <w:jc w:val="center"/>
              <w:rPr>
                <w:rFonts w:hint="eastAsia" w:ascii="仿宋_GB2312" w:hAnsi="仿宋_GB2312" w:eastAsia="仿宋_GB2312" w:cs="仿宋_GB2312"/>
                <w:i w:val="0"/>
                <w:iCs w:val="0"/>
                <w:caps w:val="0"/>
                <w:color w:val="000000"/>
                <w:spacing w:val="0"/>
                <w:sz w:val="24"/>
                <w:szCs w:val="24"/>
              </w:rPr>
            </w:pPr>
          </w:p>
        </w:tc>
        <w:tc>
          <w:tcPr>
            <w:tcW w:w="805"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7D7922CE">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身份证号</w:t>
            </w:r>
          </w:p>
        </w:tc>
        <w:tc>
          <w:tcPr>
            <w:tcW w:w="2361" w:type="pct"/>
            <w:gridSpan w:val="3"/>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09BC1D35">
            <w:pPr>
              <w:keepNext w:val="0"/>
              <w:keepLines w:val="0"/>
              <w:widowControl/>
              <w:suppressLineNumbers w:val="0"/>
              <w:wordWrap w:val="0"/>
              <w:jc w:val="center"/>
              <w:rPr>
                <w:rFonts w:hint="eastAsia" w:ascii="仿宋_GB2312" w:hAnsi="仿宋_GB2312" w:eastAsia="仿宋_GB2312" w:cs="仿宋_GB2312"/>
                <w:i w:val="0"/>
                <w:iCs w:val="0"/>
                <w:caps w:val="0"/>
                <w:color w:val="000000"/>
                <w:spacing w:val="0"/>
                <w:sz w:val="24"/>
                <w:szCs w:val="24"/>
              </w:rPr>
            </w:pPr>
          </w:p>
        </w:tc>
      </w:tr>
      <w:tr w14:paraId="292E31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86" w:type="dxa"/>
            <w:bottom w:w="43" w:type="dxa"/>
            <w:right w:w="86" w:type="dxa"/>
          </w:tblCellMar>
        </w:tblPrEx>
        <w:trPr>
          <w:trHeight w:val="437" w:hRule="atLeast"/>
        </w:trPr>
        <w:tc>
          <w:tcPr>
            <w:tcW w:w="916"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528E5A43">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所有制性质</w:t>
            </w:r>
          </w:p>
        </w:tc>
        <w:tc>
          <w:tcPr>
            <w:tcW w:w="1721" w:type="pct"/>
            <w:gridSpan w:val="2"/>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420CE640">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公立□</w:t>
            </w:r>
            <w:r>
              <w:rPr>
                <w:rFonts w:hint="eastAsia" w:ascii="仿宋_GB2312" w:hAnsi="仿宋_GB2312" w:eastAsia="仿宋_GB2312" w:cs="仿宋_GB2312"/>
                <w:i w:val="0"/>
                <w:iCs w:val="0"/>
                <w:caps w:val="0"/>
                <w:color w:val="000000"/>
                <w:spacing w:val="0"/>
                <w:sz w:val="24"/>
                <w:szCs w:val="24"/>
                <w:lang w:val="en-US" w:eastAsia="zh-CN"/>
              </w:rPr>
              <w:t xml:space="preserve">  </w:t>
            </w:r>
            <w:r>
              <w:rPr>
                <w:rFonts w:hint="eastAsia" w:ascii="仿宋_GB2312" w:hAnsi="仿宋_GB2312" w:eastAsia="仿宋_GB2312" w:cs="仿宋_GB2312"/>
                <w:i w:val="0"/>
                <w:iCs w:val="0"/>
                <w:caps w:val="0"/>
                <w:color w:val="000000"/>
                <w:spacing w:val="0"/>
                <w:sz w:val="24"/>
                <w:szCs w:val="24"/>
              </w:rPr>
              <w:t>民营□</w:t>
            </w:r>
          </w:p>
        </w:tc>
        <w:tc>
          <w:tcPr>
            <w:tcW w:w="1283" w:type="pct"/>
            <w:gridSpan w:val="2"/>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29A12CBD">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经营性质</w:t>
            </w:r>
          </w:p>
        </w:tc>
        <w:tc>
          <w:tcPr>
            <w:tcW w:w="1078"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3998B3ED">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营利□非营利□</w:t>
            </w:r>
          </w:p>
        </w:tc>
      </w:tr>
      <w:tr w14:paraId="6E1AC7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86" w:type="dxa"/>
            <w:bottom w:w="43" w:type="dxa"/>
            <w:right w:w="86" w:type="dxa"/>
          </w:tblCellMar>
        </w:tblPrEx>
        <w:trPr>
          <w:trHeight w:val="459" w:hRule="atLeast"/>
        </w:trPr>
        <w:tc>
          <w:tcPr>
            <w:tcW w:w="916" w:type="pct"/>
            <w:vMerge w:val="restar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52E53D22">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机构场所情况</w:t>
            </w:r>
          </w:p>
        </w:tc>
        <w:tc>
          <w:tcPr>
            <w:tcW w:w="1721" w:type="pct"/>
            <w:gridSpan w:val="2"/>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146FB422">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机构场所性质</w:t>
            </w:r>
          </w:p>
        </w:tc>
        <w:tc>
          <w:tcPr>
            <w:tcW w:w="2361" w:type="pct"/>
            <w:gridSpan w:val="3"/>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729479E7">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服务场所面积</w:t>
            </w:r>
          </w:p>
        </w:tc>
      </w:tr>
      <w:tr w14:paraId="73E95B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86" w:type="dxa"/>
            <w:bottom w:w="43" w:type="dxa"/>
            <w:right w:w="86" w:type="dxa"/>
          </w:tblCellMar>
        </w:tblPrEx>
        <w:trPr>
          <w:trHeight w:val="399" w:hRule="atLeast"/>
        </w:trPr>
        <w:tc>
          <w:tcPr>
            <w:tcW w:w="916" w:type="pct"/>
            <w:vMerge w:val="continue"/>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7A0849B0">
            <w:pPr>
              <w:jc w:val="center"/>
              <w:rPr>
                <w:rFonts w:hint="eastAsia" w:ascii="仿宋_GB2312" w:hAnsi="仿宋_GB2312" w:eastAsia="仿宋_GB2312" w:cs="仿宋_GB2312"/>
                <w:i w:val="0"/>
                <w:iCs w:val="0"/>
                <w:caps w:val="0"/>
                <w:color w:val="000000"/>
                <w:spacing w:val="0"/>
                <w:sz w:val="24"/>
                <w:szCs w:val="24"/>
              </w:rPr>
            </w:pPr>
          </w:p>
        </w:tc>
        <w:tc>
          <w:tcPr>
            <w:tcW w:w="1721" w:type="pct"/>
            <w:gridSpan w:val="2"/>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03EAF952">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自有□</w:t>
            </w:r>
            <w:r>
              <w:rPr>
                <w:rFonts w:hint="eastAsia" w:ascii="仿宋_GB2312" w:hAnsi="仿宋_GB2312" w:eastAsia="仿宋_GB2312" w:cs="仿宋_GB2312"/>
                <w:i w:val="0"/>
                <w:iCs w:val="0"/>
                <w:caps w:val="0"/>
                <w:color w:val="000000"/>
                <w:spacing w:val="0"/>
                <w:sz w:val="24"/>
                <w:szCs w:val="24"/>
                <w:lang w:val="en-US" w:eastAsia="zh-CN"/>
              </w:rPr>
              <w:t xml:space="preserve">  </w:t>
            </w:r>
            <w:r>
              <w:rPr>
                <w:rFonts w:hint="eastAsia" w:ascii="仿宋_GB2312" w:hAnsi="仿宋_GB2312" w:eastAsia="仿宋_GB2312" w:cs="仿宋_GB2312"/>
                <w:i w:val="0"/>
                <w:iCs w:val="0"/>
                <w:caps w:val="0"/>
                <w:color w:val="000000"/>
                <w:spacing w:val="0"/>
                <w:sz w:val="24"/>
                <w:szCs w:val="24"/>
              </w:rPr>
              <w:t>租赁□</w:t>
            </w:r>
          </w:p>
        </w:tc>
        <w:tc>
          <w:tcPr>
            <w:tcW w:w="1283" w:type="pct"/>
            <w:gridSpan w:val="2"/>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622EBEAA">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建筑面积</w:t>
            </w:r>
          </w:p>
        </w:tc>
        <w:tc>
          <w:tcPr>
            <w:tcW w:w="1078"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1BF14F03">
            <w:pPr>
              <w:keepNext w:val="0"/>
              <w:keepLines w:val="0"/>
              <w:widowControl/>
              <w:suppressLineNumbers w:val="0"/>
              <w:wordWrap w:val="0"/>
              <w:jc w:val="center"/>
              <w:rPr>
                <w:rFonts w:hint="eastAsia" w:ascii="仿宋_GB2312" w:hAnsi="仿宋_GB2312" w:eastAsia="仿宋_GB2312" w:cs="仿宋_GB2312"/>
                <w:i w:val="0"/>
                <w:iCs w:val="0"/>
                <w:caps w:val="0"/>
                <w:color w:val="000000"/>
                <w:spacing w:val="0"/>
                <w:sz w:val="24"/>
                <w:szCs w:val="24"/>
              </w:rPr>
            </w:pPr>
          </w:p>
        </w:tc>
      </w:tr>
      <w:tr w14:paraId="3E1F373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86" w:type="dxa"/>
            <w:bottom w:w="43" w:type="dxa"/>
            <w:right w:w="86" w:type="dxa"/>
          </w:tblCellMar>
        </w:tblPrEx>
        <w:trPr>
          <w:trHeight w:val="294" w:hRule="atLeast"/>
        </w:trPr>
        <w:tc>
          <w:tcPr>
            <w:tcW w:w="916" w:type="pct"/>
            <w:vMerge w:val="continue"/>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5C827B6A">
            <w:pPr>
              <w:jc w:val="center"/>
              <w:rPr>
                <w:rFonts w:hint="eastAsia" w:ascii="仿宋_GB2312" w:hAnsi="仿宋_GB2312" w:eastAsia="仿宋_GB2312" w:cs="仿宋_GB2312"/>
                <w:i w:val="0"/>
                <w:iCs w:val="0"/>
                <w:caps w:val="0"/>
                <w:color w:val="000000"/>
                <w:spacing w:val="0"/>
                <w:sz w:val="24"/>
                <w:szCs w:val="24"/>
              </w:rPr>
            </w:pPr>
          </w:p>
        </w:tc>
        <w:tc>
          <w:tcPr>
            <w:tcW w:w="916"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416B55FC">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租期</w:t>
            </w:r>
          </w:p>
        </w:tc>
        <w:tc>
          <w:tcPr>
            <w:tcW w:w="805"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1244A462">
            <w:pPr>
              <w:keepNext w:val="0"/>
              <w:keepLines w:val="0"/>
              <w:widowControl/>
              <w:suppressLineNumbers w:val="0"/>
              <w:wordWrap w:val="0"/>
              <w:jc w:val="center"/>
              <w:rPr>
                <w:rFonts w:hint="eastAsia" w:ascii="仿宋_GB2312" w:hAnsi="仿宋_GB2312" w:eastAsia="仿宋_GB2312" w:cs="仿宋_GB2312"/>
                <w:i w:val="0"/>
                <w:iCs w:val="0"/>
                <w:caps w:val="0"/>
                <w:color w:val="000000"/>
                <w:spacing w:val="0"/>
                <w:sz w:val="24"/>
                <w:szCs w:val="24"/>
              </w:rPr>
            </w:pPr>
          </w:p>
        </w:tc>
        <w:tc>
          <w:tcPr>
            <w:tcW w:w="1283" w:type="pct"/>
            <w:gridSpan w:val="2"/>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4BD3DABC">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营业面积</w:t>
            </w:r>
          </w:p>
        </w:tc>
        <w:tc>
          <w:tcPr>
            <w:tcW w:w="1078"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3AE16011">
            <w:pPr>
              <w:keepNext w:val="0"/>
              <w:keepLines w:val="0"/>
              <w:widowControl/>
              <w:suppressLineNumbers w:val="0"/>
              <w:wordWrap w:val="0"/>
              <w:jc w:val="center"/>
              <w:rPr>
                <w:rFonts w:hint="eastAsia" w:ascii="仿宋_GB2312" w:hAnsi="仿宋_GB2312" w:eastAsia="仿宋_GB2312" w:cs="仿宋_GB2312"/>
                <w:i w:val="0"/>
                <w:iCs w:val="0"/>
                <w:caps w:val="0"/>
                <w:color w:val="000000"/>
                <w:spacing w:val="0"/>
                <w:sz w:val="24"/>
                <w:szCs w:val="24"/>
              </w:rPr>
            </w:pPr>
          </w:p>
        </w:tc>
      </w:tr>
      <w:tr w14:paraId="46F642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86" w:type="dxa"/>
            <w:bottom w:w="43" w:type="dxa"/>
            <w:right w:w="86" w:type="dxa"/>
          </w:tblCellMar>
        </w:tblPrEx>
        <w:trPr>
          <w:trHeight w:val="392" w:hRule="atLeast"/>
        </w:trPr>
        <w:tc>
          <w:tcPr>
            <w:tcW w:w="916" w:type="pct"/>
            <w:vMerge w:val="restar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2537F06F">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业务管理部门</w:t>
            </w:r>
          </w:p>
        </w:tc>
        <w:tc>
          <w:tcPr>
            <w:tcW w:w="916"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453F4293">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负责人</w:t>
            </w:r>
          </w:p>
        </w:tc>
        <w:tc>
          <w:tcPr>
            <w:tcW w:w="805"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5A11D7F8">
            <w:pPr>
              <w:keepNext w:val="0"/>
              <w:keepLines w:val="0"/>
              <w:widowControl/>
              <w:suppressLineNumbers w:val="0"/>
              <w:wordWrap w:val="0"/>
              <w:jc w:val="center"/>
              <w:rPr>
                <w:rFonts w:hint="eastAsia" w:ascii="仿宋_GB2312" w:hAnsi="仿宋_GB2312" w:eastAsia="仿宋_GB2312" w:cs="仿宋_GB2312"/>
                <w:i w:val="0"/>
                <w:iCs w:val="0"/>
                <w:caps w:val="0"/>
                <w:color w:val="000000"/>
                <w:spacing w:val="0"/>
                <w:sz w:val="24"/>
                <w:szCs w:val="24"/>
              </w:rPr>
            </w:pPr>
          </w:p>
        </w:tc>
        <w:tc>
          <w:tcPr>
            <w:tcW w:w="1283" w:type="pct"/>
            <w:gridSpan w:val="2"/>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6EFDCC4D">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联系电话（手机）</w:t>
            </w:r>
          </w:p>
        </w:tc>
        <w:tc>
          <w:tcPr>
            <w:tcW w:w="1078"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106E24D7">
            <w:pPr>
              <w:keepNext w:val="0"/>
              <w:keepLines w:val="0"/>
              <w:widowControl/>
              <w:suppressLineNumbers w:val="0"/>
              <w:wordWrap w:val="0"/>
              <w:jc w:val="center"/>
              <w:rPr>
                <w:rFonts w:hint="eastAsia" w:ascii="仿宋_GB2312" w:hAnsi="仿宋_GB2312" w:eastAsia="仿宋_GB2312" w:cs="仿宋_GB2312"/>
                <w:i w:val="0"/>
                <w:iCs w:val="0"/>
                <w:caps w:val="0"/>
                <w:color w:val="000000"/>
                <w:spacing w:val="0"/>
                <w:sz w:val="24"/>
                <w:szCs w:val="24"/>
              </w:rPr>
            </w:pPr>
          </w:p>
        </w:tc>
      </w:tr>
      <w:tr w14:paraId="7739C3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86" w:type="dxa"/>
            <w:bottom w:w="43" w:type="dxa"/>
            <w:right w:w="86" w:type="dxa"/>
          </w:tblCellMar>
        </w:tblPrEx>
        <w:trPr>
          <w:trHeight w:val="310" w:hRule="atLeast"/>
        </w:trPr>
        <w:tc>
          <w:tcPr>
            <w:tcW w:w="916" w:type="pct"/>
            <w:vMerge w:val="continue"/>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47B0FAE0">
            <w:pPr>
              <w:jc w:val="center"/>
              <w:rPr>
                <w:rFonts w:hint="eastAsia" w:ascii="仿宋_GB2312" w:hAnsi="仿宋_GB2312" w:eastAsia="仿宋_GB2312" w:cs="仿宋_GB2312"/>
                <w:i w:val="0"/>
                <w:iCs w:val="0"/>
                <w:caps w:val="0"/>
                <w:color w:val="000000"/>
                <w:spacing w:val="0"/>
                <w:sz w:val="24"/>
                <w:szCs w:val="24"/>
              </w:rPr>
            </w:pPr>
          </w:p>
        </w:tc>
        <w:tc>
          <w:tcPr>
            <w:tcW w:w="916"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5CB718B2">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业务联系人</w:t>
            </w:r>
          </w:p>
        </w:tc>
        <w:tc>
          <w:tcPr>
            <w:tcW w:w="805"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519AE06C">
            <w:pPr>
              <w:keepNext w:val="0"/>
              <w:keepLines w:val="0"/>
              <w:widowControl/>
              <w:suppressLineNumbers w:val="0"/>
              <w:wordWrap w:val="0"/>
              <w:jc w:val="center"/>
              <w:rPr>
                <w:rFonts w:hint="eastAsia" w:ascii="仿宋_GB2312" w:hAnsi="仿宋_GB2312" w:eastAsia="仿宋_GB2312" w:cs="仿宋_GB2312"/>
                <w:i w:val="0"/>
                <w:iCs w:val="0"/>
                <w:caps w:val="0"/>
                <w:color w:val="000000"/>
                <w:spacing w:val="0"/>
                <w:sz w:val="24"/>
                <w:szCs w:val="24"/>
              </w:rPr>
            </w:pPr>
          </w:p>
        </w:tc>
        <w:tc>
          <w:tcPr>
            <w:tcW w:w="1283" w:type="pct"/>
            <w:gridSpan w:val="2"/>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0F64040C">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联系电话（手机）</w:t>
            </w:r>
          </w:p>
        </w:tc>
        <w:tc>
          <w:tcPr>
            <w:tcW w:w="1078"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39C06D5C">
            <w:pPr>
              <w:keepNext w:val="0"/>
              <w:keepLines w:val="0"/>
              <w:widowControl/>
              <w:suppressLineNumbers w:val="0"/>
              <w:wordWrap w:val="0"/>
              <w:jc w:val="center"/>
              <w:rPr>
                <w:rFonts w:hint="eastAsia" w:ascii="仿宋_GB2312" w:hAnsi="仿宋_GB2312" w:eastAsia="仿宋_GB2312" w:cs="仿宋_GB2312"/>
                <w:i w:val="0"/>
                <w:iCs w:val="0"/>
                <w:caps w:val="0"/>
                <w:color w:val="000000"/>
                <w:spacing w:val="0"/>
                <w:sz w:val="24"/>
                <w:szCs w:val="24"/>
              </w:rPr>
            </w:pPr>
          </w:p>
        </w:tc>
      </w:tr>
      <w:tr w14:paraId="12C752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86" w:type="dxa"/>
            <w:bottom w:w="43" w:type="dxa"/>
            <w:right w:w="86" w:type="dxa"/>
          </w:tblCellMar>
        </w:tblPrEx>
        <w:trPr>
          <w:trHeight w:val="325" w:hRule="atLeast"/>
        </w:trPr>
        <w:tc>
          <w:tcPr>
            <w:tcW w:w="916" w:type="pct"/>
            <w:vMerge w:val="restar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0122C080">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信息管理部门</w:t>
            </w:r>
          </w:p>
        </w:tc>
        <w:tc>
          <w:tcPr>
            <w:tcW w:w="916"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3280A542">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负责人</w:t>
            </w:r>
          </w:p>
        </w:tc>
        <w:tc>
          <w:tcPr>
            <w:tcW w:w="805"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6F6832CC">
            <w:pPr>
              <w:keepNext w:val="0"/>
              <w:keepLines w:val="0"/>
              <w:widowControl/>
              <w:suppressLineNumbers w:val="0"/>
              <w:wordWrap w:val="0"/>
              <w:jc w:val="center"/>
              <w:rPr>
                <w:rFonts w:hint="eastAsia" w:ascii="仿宋_GB2312" w:hAnsi="仿宋_GB2312" w:eastAsia="仿宋_GB2312" w:cs="仿宋_GB2312"/>
                <w:i w:val="0"/>
                <w:iCs w:val="0"/>
                <w:caps w:val="0"/>
                <w:color w:val="000000"/>
                <w:spacing w:val="0"/>
                <w:sz w:val="24"/>
                <w:szCs w:val="24"/>
              </w:rPr>
            </w:pPr>
          </w:p>
        </w:tc>
        <w:tc>
          <w:tcPr>
            <w:tcW w:w="1283" w:type="pct"/>
            <w:gridSpan w:val="2"/>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78D2CA99">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联系电话（手机）</w:t>
            </w:r>
          </w:p>
        </w:tc>
        <w:tc>
          <w:tcPr>
            <w:tcW w:w="1078"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6B579615">
            <w:pPr>
              <w:keepNext w:val="0"/>
              <w:keepLines w:val="0"/>
              <w:widowControl/>
              <w:suppressLineNumbers w:val="0"/>
              <w:wordWrap w:val="0"/>
              <w:jc w:val="center"/>
              <w:rPr>
                <w:rFonts w:hint="eastAsia" w:ascii="仿宋_GB2312" w:hAnsi="仿宋_GB2312" w:eastAsia="仿宋_GB2312" w:cs="仿宋_GB2312"/>
                <w:i w:val="0"/>
                <w:iCs w:val="0"/>
                <w:caps w:val="0"/>
                <w:color w:val="000000"/>
                <w:spacing w:val="0"/>
                <w:sz w:val="24"/>
                <w:szCs w:val="24"/>
              </w:rPr>
            </w:pPr>
          </w:p>
        </w:tc>
      </w:tr>
      <w:tr w14:paraId="122695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86" w:type="dxa"/>
            <w:bottom w:w="43" w:type="dxa"/>
            <w:right w:w="86" w:type="dxa"/>
          </w:tblCellMar>
        </w:tblPrEx>
        <w:trPr>
          <w:trHeight w:val="389" w:hRule="atLeast"/>
        </w:trPr>
        <w:tc>
          <w:tcPr>
            <w:tcW w:w="916" w:type="pct"/>
            <w:vMerge w:val="continue"/>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66651CE3">
            <w:pPr>
              <w:jc w:val="center"/>
              <w:rPr>
                <w:rFonts w:hint="eastAsia" w:ascii="仿宋_GB2312" w:hAnsi="仿宋_GB2312" w:eastAsia="仿宋_GB2312" w:cs="仿宋_GB2312"/>
                <w:i w:val="0"/>
                <w:iCs w:val="0"/>
                <w:caps w:val="0"/>
                <w:color w:val="000000"/>
                <w:spacing w:val="0"/>
                <w:sz w:val="24"/>
                <w:szCs w:val="24"/>
              </w:rPr>
            </w:pPr>
          </w:p>
        </w:tc>
        <w:tc>
          <w:tcPr>
            <w:tcW w:w="916"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14AFE4D9">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业务联系人</w:t>
            </w:r>
          </w:p>
        </w:tc>
        <w:tc>
          <w:tcPr>
            <w:tcW w:w="805"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10DD47EB">
            <w:pPr>
              <w:keepNext w:val="0"/>
              <w:keepLines w:val="0"/>
              <w:widowControl/>
              <w:suppressLineNumbers w:val="0"/>
              <w:wordWrap w:val="0"/>
              <w:jc w:val="center"/>
              <w:rPr>
                <w:rFonts w:hint="eastAsia" w:ascii="仿宋_GB2312" w:hAnsi="仿宋_GB2312" w:eastAsia="仿宋_GB2312" w:cs="仿宋_GB2312"/>
                <w:i w:val="0"/>
                <w:iCs w:val="0"/>
                <w:caps w:val="0"/>
                <w:color w:val="000000"/>
                <w:spacing w:val="0"/>
                <w:sz w:val="24"/>
                <w:szCs w:val="24"/>
              </w:rPr>
            </w:pPr>
          </w:p>
        </w:tc>
        <w:tc>
          <w:tcPr>
            <w:tcW w:w="1283" w:type="pct"/>
            <w:gridSpan w:val="2"/>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1ED8F1CD">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联系电话（手机）</w:t>
            </w:r>
          </w:p>
        </w:tc>
        <w:tc>
          <w:tcPr>
            <w:tcW w:w="1078"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13A9943F">
            <w:pPr>
              <w:keepNext w:val="0"/>
              <w:keepLines w:val="0"/>
              <w:widowControl/>
              <w:suppressLineNumbers w:val="0"/>
              <w:wordWrap w:val="0"/>
              <w:jc w:val="center"/>
              <w:rPr>
                <w:rFonts w:hint="eastAsia" w:ascii="仿宋_GB2312" w:hAnsi="仿宋_GB2312" w:eastAsia="仿宋_GB2312" w:cs="仿宋_GB2312"/>
                <w:i w:val="0"/>
                <w:iCs w:val="0"/>
                <w:caps w:val="0"/>
                <w:color w:val="000000"/>
                <w:spacing w:val="0"/>
                <w:sz w:val="24"/>
                <w:szCs w:val="24"/>
              </w:rPr>
            </w:pPr>
          </w:p>
        </w:tc>
      </w:tr>
      <w:tr w14:paraId="7AA674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86" w:type="dxa"/>
            <w:bottom w:w="43" w:type="dxa"/>
            <w:right w:w="86" w:type="dxa"/>
          </w:tblCellMar>
        </w:tblPrEx>
        <w:trPr>
          <w:trHeight w:val="992" w:hRule="atLeast"/>
        </w:trPr>
        <w:tc>
          <w:tcPr>
            <w:tcW w:w="916" w:type="pct"/>
            <w:vMerge w:val="restar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716FAF9C">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人员构成</w:t>
            </w:r>
          </w:p>
        </w:tc>
        <w:tc>
          <w:tcPr>
            <w:tcW w:w="916"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1BC576C6">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职工总人数</w:t>
            </w:r>
          </w:p>
        </w:tc>
        <w:tc>
          <w:tcPr>
            <w:tcW w:w="805"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4E738B2A">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rPr>
              <w:t>评估专家</w:t>
            </w:r>
          </w:p>
          <w:p w14:paraId="7353CB35">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人数</w:t>
            </w:r>
          </w:p>
        </w:tc>
        <w:tc>
          <w:tcPr>
            <w:tcW w:w="619"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6C11FFB2">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rPr>
              <w:t>评估员</w:t>
            </w:r>
          </w:p>
          <w:p w14:paraId="114C7CF2">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人数</w:t>
            </w:r>
          </w:p>
        </w:tc>
        <w:tc>
          <w:tcPr>
            <w:tcW w:w="663"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1830D2E0">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rPr>
              <w:t>信息系统管理员</w:t>
            </w:r>
          </w:p>
          <w:p w14:paraId="3A1DEAB5">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人数</w:t>
            </w:r>
          </w:p>
        </w:tc>
        <w:tc>
          <w:tcPr>
            <w:tcW w:w="1078"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25F6D210">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其 他</w:t>
            </w:r>
          </w:p>
        </w:tc>
      </w:tr>
      <w:tr w14:paraId="5B98EC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86" w:type="dxa"/>
            <w:bottom w:w="43" w:type="dxa"/>
            <w:right w:w="86" w:type="dxa"/>
          </w:tblCellMar>
        </w:tblPrEx>
        <w:trPr>
          <w:trHeight w:val="389" w:hRule="atLeast"/>
        </w:trPr>
        <w:tc>
          <w:tcPr>
            <w:tcW w:w="916" w:type="pct"/>
            <w:vMerge w:val="continue"/>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37CF2410">
            <w:pPr>
              <w:rPr>
                <w:rFonts w:hint="eastAsia" w:ascii="仿宋_GB2312" w:hAnsi="仿宋_GB2312" w:eastAsia="仿宋_GB2312" w:cs="仿宋_GB2312"/>
                <w:i w:val="0"/>
                <w:iCs w:val="0"/>
                <w:caps w:val="0"/>
                <w:color w:val="000000"/>
                <w:spacing w:val="0"/>
                <w:sz w:val="24"/>
                <w:szCs w:val="24"/>
              </w:rPr>
            </w:pPr>
          </w:p>
        </w:tc>
        <w:tc>
          <w:tcPr>
            <w:tcW w:w="916"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48A914F9">
            <w:pPr>
              <w:keepNext w:val="0"/>
              <w:keepLines w:val="0"/>
              <w:widowControl/>
              <w:suppressLineNumbers w:val="0"/>
              <w:wordWrap w:val="0"/>
              <w:jc w:val="left"/>
              <w:rPr>
                <w:rFonts w:hint="eastAsia" w:ascii="仿宋_GB2312" w:hAnsi="仿宋_GB2312" w:eastAsia="仿宋_GB2312" w:cs="仿宋_GB2312"/>
                <w:i w:val="0"/>
                <w:iCs w:val="0"/>
                <w:caps w:val="0"/>
                <w:color w:val="000000"/>
                <w:spacing w:val="0"/>
                <w:sz w:val="24"/>
                <w:szCs w:val="24"/>
              </w:rPr>
            </w:pPr>
          </w:p>
        </w:tc>
        <w:tc>
          <w:tcPr>
            <w:tcW w:w="805"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66C3F8B2">
            <w:pPr>
              <w:keepNext w:val="0"/>
              <w:keepLines w:val="0"/>
              <w:widowControl/>
              <w:suppressLineNumbers w:val="0"/>
              <w:wordWrap w:val="0"/>
              <w:jc w:val="left"/>
              <w:rPr>
                <w:rFonts w:hint="eastAsia" w:ascii="仿宋_GB2312" w:hAnsi="仿宋_GB2312" w:eastAsia="仿宋_GB2312" w:cs="仿宋_GB2312"/>
                <w:i w:val="0"/>
                <w:iCs w:val="0"/>
                <w:caps w:val="0"/>
                <w:color w:val="000000"/>
                <w:spacing w:val="0"/>
                <w:sz w:val="24"/>
                <w:szCs w:val="24"/>
              </w:rPr>
            </w:pPr>
          </w:p>
        </w:tc>
        <w:tc>
          <w:tcPr>
            <w:tcW w:w="619"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40806238">
            <w:pPr>
              <w:keepNext w:val="0"/>
              <w:keepLines w:val="0"/>
              <w:widowControl/>
              <w:suppressLineNumbers w:val="0"/>
              <w:wordWrap w:val="0"/>
              <w:jc w:val="left"/>
              <w:rPr>
                <w:rFonts w:hint="eastAsia" w:ascii="仿宋_GB2312" w:hAnsi="仿宋_GB2312" w:eastAsia="仿宋_GB2312" w:cs="仿宋_GB2312"/>
                <w:i w:val="0"/>
                <w:iCs w:val="0"/>
                <w:caps w:val="0"/>
                <w:color w:val="000000"/>
                <w:spacing w:val="0"/>
                <w:sz w:val="24"/>
                <w:szCs w:val="24"/>
              </w:rPr>
            </w:pPr>
          </w:p>
        </w:tc>
        <w:tc>
          <w:tcPr>
            <w:tcW w:w="663"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5485DDE5">
            <w:pPr>
              <w:keepNext w:val="0"/>
              <w:keepLines w:val="0"/>
              <w:widowControl/>
              <w:suppressLineNumbers w:val="0"/>
              <w:wordWrap w:val="0"/>
              <w:jc w:val="left"/>
              <w:rPr>
                <w:rFonts w:hint="eastAsia" w:ascii="仿宋_GB2312" w:hAnsi="仿宋_GB2312" w:eastAsia="仿宋_GB2312" w:cs="仿宋_GB2312"/>
                <w:i w:val="0"/>
                <w:iCs w:val="0"/>
                <w:caps w:val="0"/>
                <w:color w:val="000000"/>
                <w:spacing w:val="0"/>
                <w:sz w:val="24"/>
                <w:szCs w:val="24"/>
              </w:rPr>
            </w:pPr>
          </w:p>
        </w:tc>
        <w:tc>
          <w:tcPr>
            <w:tcW w:w="1078"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0D2276B4">
            <w:pPr>
              <w:keepNext w:val="0"/>
              <w:keepLines w:val="0"/>
              <w:widowControl/>
              <w:suppressLineNumbers w:val="0"/>
              <w:wordWrap w:val="0"/>
              <w:jc w:val="left"/>
              <w:rPr>
                <w:rFonts w:hint="eastAsia" w:ascii="仿宋_GB2312" w:hAnsi="仿宋_GB2312" w:eastAsia="仿宋_GB2312" w:cs="仿宋_GB2312"/>
                <w:i w:val="0"/>
                <w:iCs w:val="0"/>
                <w:caps w:val="0"/>
                <w:color w:val="000000"/>
                <w:spacing w:val="0"/>
                <w:sz w:val="24"/>
                <w:szCs w:val="24"/>
              </w:rPr>
            </w:pPr>
          </w:p>
        </w:tc>
      </w:tr>
      <w:tr w14:paraId="0082BAF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86" w:type="dxa"/>
            <w:bottom w:w="43" w:type="dxa"/>
            <w:right w:w="86" w:type="dxa"/>
          </w:tblCellMar>
        </w:tblPrEx>
        <w:trPr>
          <w:trHeight w:val="1522" w:hRule="atLeast"/>
        </w:trPr>
        <w:tc>
          <w:tcPr>
            <w:tcW w:w="916"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6E200B96">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申请单位</w:t>
            </w:r>
          </w:p>
          <w:p w14:paraId="0A4076AF">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意  见</w:t>
            </w:r>
          </w:p>
        </w:tc>
        <w:tc>
          <w:tcPr>
            <w:tcW w:w="4083" w:type="pct"/>
            <w:gridSpan w:val="5"/>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bottom"/>
          </w:tcPr>
          <w:p w14:paraId="340B52CB">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法人代表签字（申请单位印章）：</w:t>
            </w:r>
          </w:p>
          <w:p w14:paraId="615FE3F5">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年     月   日</w:t>
            </w:r>
          </w:p>
        </w:tc>
      </w:tr>
      <w:tr w14:paraId="51BBA7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86" w:type="dxa"/>
            <w:bottom w:w="43" w:type="dxa"/>
            <w:right w:w="86" w:type="dxa"/>
          </w:tblCellMar>
        </w:tblPrEx>
        <w:trPr>
          <w:trHeight w:val="1346" w:hRule="atLeast"/>
        </w:trPr>
        <w:tc>
          <w:tcPr>
            <w:tcW w:w="916"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4A83A7A7">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审核小组</w:t>
            </w:r>
          </w:p>
          <w:p w14:paraId="26D847BA">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意  见</w:t>
            </w:r>
          </w:p>
        </w:tc>
        <w:tc>
          <w:tcPr>
            <w:tcW w:w="4083" w:type="pct"/>
            <w:gridSpan w:val="5"/>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bottom"/>
          </w:tcPr>
          <w:p w14:paraId="021E4B7C">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审核小组成员签字     </w:t>
            </w:r>
          </w:p>
          <w:p w14:paraId="4BAFFE7A">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年   月   日</w:t>
            </w:r>
          </w:p>
        </w:tc>
      </w:tr>
      <w:tr w14:paraId="702712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86" w:type="dxa"/>
            <w:bottom w:w="43" w:type="dxa"/>
            <w:right w:w="86" w:type="dxa"/>
          </w:tblCellMar>
        </w:tblPrEx>
        <w:trPr>
          <w:trHeight w:val="1328" w:hRule="atLeast"/>
        </w:trPr>
        <w:tc>
          <w:tcPr>
            <w:tcW w:w="916" w:type="pct"/>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center"/>
          </w:tcPr>
          <w:p w14:paraId="0F3BD0FD">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医保经办机构审核意见</w:t>
            </w:r>
          </w:p>
        </w:tc>
        <w:tc>
          <w:tcPr>
            <w:tcW w:w="4083" w:type="pct"/>
            <w:gridSpan w:val="5"/>
            <w:tcBorders>
              <w:top w:val="outset" w:color="auto" w:sz="6" w:space="0"/>
              <w:left w:val="outset" w:color="auto" w:sz="6" w:space="0"/>
              <w:bottom w:val="outset" w:color="auto" w:sz="6" w:space="0"/>
              <w:right w:val="outset" w:color="auto" w:sz="6" w:space="0"/>
            </w:tcBorders>
            <w:noWrap w:val="0"/>
            <w:tcMar>
              <w:top w:w="43" w:type="dxa"/>
              <w:left w:w="43" w:type="dxa"/>
              <w:right w:w="43" w:type="dxa"/>
            </w:tcMar>
            <w:vAlign w:val="bottom"/>
          </w:tcPr>
          <w:p w14:paraId="4C246262">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lang w:val="en-US" w:eastAsia="zh-CN"/>
              </w:rPr>
              <w:t xml:space="preserve">                           </w:t>
            </w:r>
            <w:r>
              <w:rPr>
                <w:rFonts w:hint="eastAsia" w:ascii="仿宋_GB2312" w:hAnsi="仿宋_GB2312" w:eastAsia="仿宋_GB2312" w:cs="仿宋_GB2312"/>
                <w:i w:val="0"/>
                <w:iCs w:val="0"/>
                <w:caps w:val="0"/>
                <w:color w:val="000000"/>
                <w:spacing w:val="0"/>
                <w:sz w:val="24"/>
                <w:szCs w:val="24"/>
              </w:rPr>
              <w:t>​医保经办机构印章</w:t>
            </w:r>
          </w:p>
          <w:p w14:paraId="27EC1BDD">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年     月   日</w:t>
            </w:r>
          </w:p>
        </w:tc>
      </w:tr>
    </w:tbl>
    <w:p w14:paraId="5EC80DED">
      <w:pPr>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ascii="仿宋_GB2312" w:hAnsi="仿宋_GB2312" w:eastAsia="仿宋_GB2312" w:cs="仿宋_GB2312"/>
          <w:sz w:val="32"/>
          <w:szCs w:val="32"/>
        </w:rPr>
      </w:pPr>
    </w:p>
    <w:sectPr>
      <w:footerReference r:id="rId3" w:type="default"/>
      <w:footerReference r:id="rId4" w:type="even"/>
      <w:pgSz w:w="11906" w:h="16838"/>
      <w:pgMar w:top="1701" w:right="1417" w:bottom="1531" w:left="1531" w:header="851" w:footer="992"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703060505090304"/>
    <w:charset w:val="86"/>
    <w:family w:val="auto"/>
    <w:pitch w:val="default"/>
    <w:sig w:usb0="00000000" w:usb1="00000000" w:usb2="00000001" w:usb3="00000000" w:csb0="400001BF" w:csb1="DFF7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楷体">
    <w:altName w:val="方正楷体_GBK"/>
    <w:panose1 w:val="02010600040101010101"/>
    <w:charset w:val="86"/>
    <w:family w:val="auto"/>
    <w:pitch w:val="default"/>
    <w:sig w:usb0="00000000" w:usb1="00000000" w:usb2="00000016" w:usb3="00000000" w:csb0="0004001F" w:csb1="00000000"/>
  </w:font>
  <w:font w:name="方正楷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D5F1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AAAF9">
                          <w:pPr>
                            <w:pStyle w:val="7"/>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B4AAAF9">
                    <w:pPr>
                      <w:pStyle w:val="7"/>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ED577">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A27AB">
                          <w:pPr>
                            <w:pStyle w:val="7"/>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F8A27AB">
                    <w:pPr>
                      <w:pStyle w:val="7"/>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797A5"/>
    <w:multiLevelType w:val="singleLevel"/>
    <w:tmpl w:val="BF3797A5"/>
    <w:lvl w:ilvl="0" w:tentative="0">
      <w:start w:val="1"/>
      <w:numFmt w:val="chineseCounting"/>
      <w:suff w:val="nothing"/>
      <w:lvlText w:val="（%1）"/>
      <w:lvlJc w:val="left"/>
      <w:rPr>
        <w:rFonts w:hint="eastAsia"/>
        <w:color w:val="auto"/>
      </w:rPr>
    </w:lvl>
  </w:abstractNum>
  <w:abstractNum w:abstractNumId="1">
    <w:nsid w:val="E97E0DA8"/>
    <w:multiLevelType w:val="singleLevel"/>
    <w:tmpl w:val="E97E0DA8"/>
    <w:lvl w:ilvl="0" w:tentative="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8F2DD6"/>
    <w:rsid w:val="011A0BB2"/>
    <w:rsid w:val="02AD76C6"/>
    <w:rsid w:val="035B144E"/>
    <w:rsid w:val="04037C06"/>
    <w:rsid w:val="051B39A1"/>
    <w:rsid w:val="05B52B35"/>
    <w:rsid w:val="0646083A"/>
    <w:rsid w:val="070861C2"/>
    <w:rsid w:val="09A12572"/>
    <w:rsid w:val="0A31595D"/>
    <w:rsid w:val="0BB792A3"/>
    <w:rsid w:val="0BF7E3DA"/>
    <w:rsid w:val="0C5C0140"/>
    <w:rsid w:val="0DBF071D"/>
    <w:rsid w:val="0E0A239A"/>
    <w:rsid w:val="0E315A71"/>
    <w:rsid w:val="0E526A48"/>
    <w:rsid w:val="0E6B299B"/>
    <w:rsid w:val="0FEC5EC8"/>
    <w:rsid w:val="11763983"/>
    <w:rsid w:val="117803D7"/>
    <w:rsid w:val="12073959"/>
    <w:rsid w:val="12336760"/>
    <w:rsid w:val="125FAE48"/>
    <w:rsid w:val="13D905AA"/>
    <w:rsid w:val="13EDCCE6"/>
    <w:rsid w:val="15461EAF"/>
    <w:rsid w:val="16614D9F"/>
    <w:rsid w:val="196613CE"/>
    <w:rsid w:val="197615ED"/>
    <w:rsid w:val="1A046B7F"/>
    <w:rsid w:val="1A3A4C44"/>
    <w:rsid w:val="1B7B6ED6"/>
    <w:rsid w:val="1BFEC059"/>
    <w:rsid w:val="1E907D39"/>
    <w:rsid w:val="1FAB22FD"/>
    <w:rsid w:val="1FB2EC33"/>
    <w:rsid w:val="1FBD6489"/>
    <w:rsid w:val="1FF23374"/>
    <w:rsid w:val="21D35AB2"/>
    <w:rsid w:val="245D5BDB"/>
    <w:rsid w:val="24A65106"/>
    <w:rsid w:val="24C16A95"/>
    <w:rsid w:val="263E14FF"/>
    <w:rsid w:val="27AE333A"/>
    <w:rsid w:val="27FD5E2E"/>
    <w:rsid w:val="286C537B"/>
    <w:rsid w:val="29CE05B0"/>
    <w:rsid w:val="2A9D227B"/>
    <w:rsid w:val="2ABF4766"/>
    <w:rsid w:val="2BEE6AE6"/>
    <w:rsid w:val="2C09527B"/>
    <w:rsid w:val="2D3E6EEC"/>
    <w:rsid w:val="2E512896"/>
    <w:rsid w:val="2F9FD60A"/>
    <w:rsid w:val="2FE609CB"/>
    <w:rsid w:val="31C62EF7"/>
    <w:rsid w:val="31E202FC"/>
    <w:rsid w:val="3205108C"/>
    <w:rsid w:val="33FD2F0D"/>
    <w:rsid w:val="34E83998"/>
    <w:rsid w:val="36383379"/>
    <w:rsid w:val="367C5BD1"/>
    <w:rsid w:val="379613AE"/>
    <w:rsid w:val="37B2286A"/>
    <w:rsid w:val="37BFF843"/>
    <w:rsid w:val="37DE6585"/>
    <w:rsid w:val="395115AA"/>
    <w:rsid w:val="3A484F5A"/>
    <w:rsid w:val="3B5ED93A"/>
    <w:rsid w:val="3D3B606B"/>
    <w:rsid w:val="3DFF3F52"/>
    <w:rsid w:val="3ECA06EC"/>
    <w:rsid w:val="3F9EBC0A"/>
    <w:rsid w:val="3FF9AD13"/>
    <w:rsid w:val="3FFF2817"/>
    <w:rsid w:val="40D51947"/>
    <w:rsid w:val="41365B56"/>
    <w:rsid w:val="41542D80"/>
    <w:rsid w:val="41D7952F"/>
    <w:rsid w:val="43F669D0"/>
    <w:rsid w:val="44B20092"/>
    <w:rsid w:val="45B731EC"/>
    <w:rsid w:val="45F536B1"/>
    <w:rsid w:val="47CB0A31"/>
    <w:rsid w:val="47D026B1"/>
    <w:rsid w:val="48BB00A4"/>
    <w:rsid w:val="496535C8"/>
    <w:rsid w:val="4A1947CF"/>
    <w:rsid w:val="4A2751F0"/>
    <w:rsid w:val="4AF43638"/>
    <w:rsid w:val="4B994AA2"/>
    <w:rsid w:val="4C7FBA02"/>
    <w:rsid w:val="4CD27210"/>
    <w:rsid w:val="4CED6BCD"/>
    <w:rsid w:val="4F3F8E29"/>
    <w:rsid w:val="4F691203"/>
    <w:rsid w:val="4F6F352A"/>
    <w:rsid w:val="4FD70552"/>
    <w:rsid w:val="4FD714BD"/>
    <w:rsid w:val="4FF8393C"/>
    <w:rsid w:val="51535316"/>
    <w:rsid w:val="515F4659"/>
    <w:rsid w:val="518B68AD"/>
    <w:rsid w:val="52AD2EBF"/>
    <w:rsid w:val="53343032"/>
    <w:rsid w:val="53551C6C"/>
    <w:rsid w:val="53BF0B1A"/>
    <w:rsid w:val="53F7DC8B"/>
    <w:rsid w:val="53FF7C46"/>
    <w:rsid w:val="540E4B3A"/>
    <w:rsid w:val="554963F8"/>
    <w:rsid w:val="55921EF5"/>
    <w:rsid w:val="564E338D"/>
    <w:rsid w:val="567766C9"/>
    <w:rsid w:val="57102C3C"/>
    <w:rsid w:val="57D1152D"/>
    <w:rsid w:val="57F74EB9"/>
    <w:rsid w:val="59DBAE1E"/>
    <w:rsid w:val="5A872D00"/>
    <w:rsid w:val="5AB751F6"/>
    <w:rsid w:val="5AFF80A6"/>
    <w:rsid w:val="5BF88FD3"/>
    <w:rsid w:val="5CFF971E"/>
    <w:rsid w:val="5D147742"/>
    <w:rsid w:val="5D1EF351"/>
    <w:rsid w:val="5DEA7990"/>
    <w:rsid w:val="5E464827"/>
    <w:rsid w:val="5E9E3007"/>
    <w:rsid w:val="5EA31D28"/>
    <w:rsid w:val="5EB7E00C"/>
    <w:rsid w:val="5EE5083F"/>
    <w:rsid w:val="5EE7F8CF"/>
    <w:rsid w:val="5F6FDAF2"/>
    <w:rsid w:val="5F7DB724"/>
    <w:rsid w:val="5F7DF055"/>
    <w:rsid w:val="5FDF08C2"/>
    <w:rsid w:val="5FEBC156"/>
    <w:rsid w:val="5FFB43F0"/>
    <w:rsid w:val="5FFD628A"/>
    <w:rsid w:val="5FFEA240"/>
    <w:rsid w:val="60073151"/>
    <w:rsid w:val="615A706A"/>
    <w:rsid w:val="61AB652B"/>
    <w:rsid w:val="62F86D33"/>
    <w:rsid w:val="633D34AB"/>
    <w:rsid w:val="637F0F2C"/>
    <w:rsid w:val="63BF0CD4"/>
    <w:rsid w:val="63DF460D"/>
    <w:rsid w:val="67CDF16A"/>
    <w:rsid w:val="6839552E"/>
    <w:rsid w:val="68FCA0F4"/>
    <w:rsid w:val="691502FA"/>
    <w:rsid w:val="69CC6176"/>
    <w:rsid w:val="6A35D91A"/>
    <w:rsid w:val="6AB876F9"/>
    <w:rsid w:val="6AFC83E8"/>
    <w:rsid w:val="6B8FB3BD"/>
    <w:rsid w:val="6BBF7C1E"/>
    <w:rsid w:val="6BC76999"/>
    <w:rsid w:val="6CAF0DCA"/>
    <w:rsid w:val="6D5E19F5"/>
    <w:rsid w:val="6DD712E4"/>
    <w:rsid w:val="6E461193"/>
    <w:rsid w:val="6EEFC272"/>
    <w:rsid w:val="6EFD1CA6"/>
    <w:rsid w:val="6EFF073D"/>
    <w:rsid w:val="6F0F0066"/>
    <w:rsid w:val="6F9F1D1D"/>
    <w:rsid w:val="6FB66349"/>
    <w:rsid w:val="6FB7221C"/>
    <w:rsid w:val="6FBB0B34"/>
    <w:rsid w:val="6FFAF978"/>
    <w:rsid w:val="6FFEAB36"/>
    <w:rsid w:val="6FFEBFFC"/>
    <w:rsid w:val="702F3B48"/>
    <w:rsid w:val="71B6F402"/>
    <w:rsid w:val="72ED011A"/>
    <w:rsid w:val="73846C30"/>
    <w:rsid w:val="73BB429C"/>
    <w:rsid w:val="73BEC188"/>
    <w:rsid w:val="73F7AA1D"/>
    <w:rsid w:val="73F7D7DF"/>
    <w:rsid w:val="74BFDD2F"/>
    <w:rsid w:val="74C6E049"/>
    <w:rsid w:val="753F6A51"/>
    <w:rsid w:val="75637F2C"/>
    <w:rsid w:val="7563E607"/>
    <w:rsid w:val="7599783B"/>
    <w:rsid w:val="75AF87B6"/>
    <w:rsid w:val="75E677B3"/>
    <w:rsid w:val="76202663"/>
    <w:rsid w:val="76FF16B3"/>
    <w:rsid w:val="77553262"/>
    <w:rsid w:val="775F9B66"/>
    <w:rsid w:val="77B6A045"/>
    <w:rsid w:val="77DF9FE4"/>
    <w:rsid w:val="77FE9217"/>
    <w:rsid w:val="785476AF"/>
    <w:rsid w:val="78721017"/>
    <w:rsid w:val="78B15A7A"/>
    <w:rsid w:val="78F591C2"/>
    <w:rsid w:val="7AF30D92"/>
    <w:rsid w:val="7AF609DE"/>
    <w:rsid w:val="7B0F647E"/>
    <w:rsid w:val="7B5F8AE0"/>
    <w:rsid w:val="7B65B164"/>
    <w:rsid w:val="7B7FCE8C"/>
    <w:rsid w:val="7BBD5C72"/>
    <w:rsid w:val="7BBF04FC"/>
    <w:rsid w:val="7BE5C312"/>
    <w:rsid w:val="7BEC6ABB"/>
    <w:rsid w:val="7BEFA551"/>
    <w:rsid w:val="7BFDF9E2"/>
    <w:rsid w:val="7BFF40B2"/>
    <w:rsid w:val="7CDE1E47"/>
    <w:rsid w:val="7D013D65"/>
    <w:rsid w:val="7D3D6B7B"/>
    <w:rsid w:val="7D3F59FC"/>
    <w:rsid w:val="7D9E151E"/>
    <w:rsid w:val="7DBF8B9A"/>
    <w:rsid w:val="7DEF47E6"/>
    <w:rsid w:val="7E467994"/>
    <w:rsid w:val="7E51087F"/>
    <w:rsid w:val="7E890CE9"/>
    <w:rsid w:val="7EB07E45"/>
    <w:rsid w:val="7EBB4487"/>
    <w:rsid w:val="7EBFAA34"/>
    <w:rsid w:val="7EFC0D8F"/>
    <w:rsid w:val="7EFF9686"/>
    <w:rsid w:val="7F98E6EC"/>
    <w:rsid w:val="7F9B2E17"/>
    <w:rsid w:val="7FAE767E"/>
    <w:rsid w:val="7FBD00F2"/>
    <w:rsid w:val="7FBFB60D"/>
    <w:rsid w:val="7FC9C973"/>
    <w:rsid w:val="7FEDDDCF"/>
    <w:rsid w:val="7FFCAB68"/>
    <w:rsid w:val="7FFDC9A0"/>
    <w:rsid w:val="7FFF54F3"/>
    <w:rsid w:val="856E8138"/>
    <w:rsid w:val="86FF40F9"/>
    <w:rsid w:val="8DF41F05"/>
    <w:rsid w:val="93B739D8"/>
    <w:rsid w:val="97E871ED"/>
    <w:rsid w:val="9ADE9CC9"/>
    <w:rsid w:val="9AFF790A"/>
    <w:rsid w:val="9BFB6C37"/>
    <w:rsid w:val="A47FA56E"/>
    <w:rsid w:val="A5691148"/>
    <w:rsid w:val="A5F1C95B"/>
    <w:rsid w:val="AB1B92DC"/>
    <w:rsid w:val="AEF6A7FC"/>
    <w:rsid w:val="AF5FD60C"/>
    <w:rsid w:val="AFFF08A4"/>
    <w:rsid w:val="AFFF597B"/>
    <w:rsid w:val="B1FE397A"/>
    <w:rsid w:val="B37BB2B1"/>
    <w:rsid w:val="B5EFDFAC"/>
    <w:rsid w:val="B7CFFE1B"/>
    <w:rsid w:val="B7EFE3CD"/>
    <w:rsid w:val="B7F530D6"/>
    <w:rsid w:val="B9FE3C1D"/>
    <w:rsid w:val="BB74FD67"/>
    <w:rsid w:val="BB7899ED"/>
    <w:rsid w:val="BB79BFE6"/>
    <w:rsid w:val="BB9B1F65"/>
    <w:rsid w:val="BBD1A3EF"/>
    <w:rsid w:val="BBDFCE49"/>
    <w:rsid w:val="BCDF6B7C"/>
    <w:rsid w:val="BD7776C1"/>
    <w:rsid w:val="BD7B1ECB"/>
    <w:rsid w:val="BD7F8FF7"/>
    <w:rsid w:val="BDDFCF1A"/>
    <w:rsid w:val="BDFEA63C"/>
    <w:rsid w:val="BF77BC2B"/>
    <w:rsid w:val="BF9DBBC5"/>
    <w:rsid w:val="BFDFD923"/>
    <w:rsid w:val="BFE4F6C3"/>
    <w:rsid w:val="CBBC682E"/>
    <w:rsid w:val="CBBF3C6F"/>
    <w:rsid w:val="CEDDA478"/>
    <w:rsid w:val="CFE7573E"/>
    <w:rsid w:val="CFFBEF5C"/>
    <w:rsid w:val="D2EABEB1"/>
    <w:rsid w:val="D5FFF975"/>
    <w:rsid w:val="D6B95C31"/>
    <w:rsid w:val="D6D7F41C"/>
    <w:rsid w:val="D6F2B690"/>
    <w:rsid w:val="D7F24D4C"/>
    <w:rsid w:val="D87E742B"/>
    <w:rsid w:val="D8CB5B6E"/>
    <w:rsid w:val="D9F7BFEA"/>
    <w:rsid w:val="DAD50D94"/>
    <w:rsid w:val="DAEA411B"/>
    <w:rsid w:val="DBB9CDE0"/>
    <w:rsid w:val="DD7FF7A7"/>
    <w:rsid w:val="DE279A09"/>
    <w:rsid w:val="DEE74B1B"/>
    <w:rsid w:val="DF5EC6B5"/>
    <w:rsid w:val="DFB72D96"/>
    <w:rsid w:val="DFBD386E"/>
    <w:rsid w:val="DFD7F5D6"/>
    <w:rsid w:val="DFDFC45D"/>
    <w:rsid w:val="DFFBC660"/>
    <w:rsid w:val="DFFD9D7A"/>
    <w:rsid w:val="E2E22526"/>
    <w:rsid w:val="E662BE12"/>
    <w:rsid w:val="E68B33B2"/>
    <w:rsid w:val="EB792A50"/>
    <w:rsid w:val="EC161129"/>
    <w:rsid w:val="ECF9EBD1"/>
    <w:rsid w:val="ED3C754A"/>
    <w:rsid w:val="EDF74E6C"/>
    <w:rsid w:val="EDFE4C3B"/>
    <w:rsid w:val="EEF1B80C"/>
    <w:rsid w:val="EEFF2D4C"/>
    <w:rsid w:val="EFACBE0F"/>
    <w:rsid w:val="EFBF2FB0"/>
    <w:rsid w:val="EFC26AB0"/>
    <w:rsid w:val="EFDF56DD"/>
    <w:rsid w:val="EFDFCB59"/>
    <w:rsid w:val="EFEE673D"/>
    <w:rsid w:val="F4BF267E"/>
    <w:rsid w:val="F5B53591"/>
    <w:rsid w:val="F5B54331"/>
    <w:rsid w:val="F74EB661"/>
    <w:rsid w:val="F75A44A9"/>
    <w:rsid w:val="F7B7D235"/>
    <w:rsid w:val="F7EF2E73"/>
    <w:rsid w:val="F7FF3B71"/>
    <w:rsid w:val="F91BA5EE"/>
    <w:rsid w:val="F978A8BA"/>
    <w:rsid w:val="F9FDF2B6"/>
    <w:rsid w:val="FA75B45F"/>
    <w:rsid w:val="FB371D9E"/>
    <w:rsid w:val="FB773AC1"/>
    <w:rsid w:val="FB92E847"/>
    <w:rsid w:val="FBDD902A"/>
    <w:rsid w:val="FBFF1F70"/>
    <w:rsid w:val="FBFF7D74"/>
    <w:rsid w:val="FC5FA26C"/>
    <w:rsid w:val="FC8F8E57"/>
    <w:rsid w:val="FCCE6A9B"/>
    <w:rsid w:val="FDFC0E76"/>
    <w:rsid w:val="FDFF1D90"/>
    <w:rsid w:val="FEA667B2"/>
    <w:rsid w:val="FECFB3C7"/>
    <w:rsid w:val="FED6C26E"/>
    <w:rsid w:val="FEE2C325"/>
    <w:rsid w:val="FEFFF3FA"/>
    <w:rsid w:val="FF3A7895"/>
    <w:rsid w:val="FF4F622A"/>
    <w:rsid w:val="FF5D95FD"/>
    <w:rsid w:val="FF67FFEE"/>
    <w:rsid w:val="FF75CEDA"/>
    <w:rsid w:val="FF7BA170"/>
    <w:rsid w:val="FFA58B4D"/>
    <w:rsid w:val="FFBF9769"/>
    <w:rsid w:val="FFD91649"/>
    <w:rsid w:val="FFDB6E5D"/>
    <w:rsid w:val="FFDFC8F9"/>
    <w:rsid w:val="FFE31E57"/>
    <w:rsid w:val="FFEF9394"/>
    <w:rsid w:val="FFEFDC72"/>
    <w:rsid w:val="FFF33398"/>
    <w:rsid w:val="FFF7D6BF"/>
    <w:rsid w:val="FFFB4C20"/>
    <w:rsid w:val="FFFBCC57"/>
    <w:rsid w:val="FFFC7DDB"/>
    <w:rsid w:val="FFFE41A4"/>
    <w:rsid w:val="FFFED12C"/>
    <w:rsid w:val="FFFFB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3"/>
    <w:basedOn w:val="1"/>
    <w:next w:val="1"/>
    <w:qFormat/>
    <w:uiPriority w:val="0"/>
    <w:pPr>
      <w:spacing w:after="120" w:afterLines="0" w:afterAutospacing="0"/>
    </w:pPr>
    <w:rPr>
      <w:sz w:val="16"/>
    </w:rPr>
  </w:style>
  <w:style w:type="paragraph" w:styleId="5">
    <w:name w:val="Body Text"/>
    <w:basedOn w:val="1"/>
    <w:next w:val="1"/>
    <w:semiHidden/>
    <w:qFormat/>
    <w:uiPriority w:val="0"/>
    <w:rPr>
      <w:rFonts w:ascii="仿宋" w:hAnsi="仿宋" w:eastAsia="仿宋" w:cs="仿宋"/>
      <w:sz w:val="31"/>
      <w:szCs w:val="31"/>
      <w:lang w:val="en-US" w:eastAsia="en-US" w:bidi="ar-SA"/>
    </w:rPr>
  </w:style>
  <w:style w:type="paragraph" w:styleId="6">
    <w:name w:val="Plain Text"/>
    <w:basedOn w:val="1"/>
    <w:qFormat/>
    <w:uiPriority w:val="99"/>
    <w:rPr>
      <w:rFonts w:ascii="宋体" w:hAnsi="Courier New"/>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index 7"/>
    <w:basedOn w:val="1"/>
    <w:next w:val="1"/>
    <w:qFormat/>
    <w:uiPriority w:val="0"/>
    <w:pPr>
      <w:spacing w:line="160" w:lineRule="exact"/>
      <w:ind w:left="2517"/>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paragraph" w:customStyle="1" w:styleId="14">
    <w:name w:val="UserStyle_0"/>
    <w:basedOn w:val="1"/>
    <w:qFormat/>
    <w:uiPriority w:val="0"/>
    <w:pPr>
      <w:widowControl/>
      <w:suppressAutoHyphens/>
      <w:topLinePunct/>
      <w:bidi w:val="0"/>
      <w:spacing w:before="100" w:beforeAutospacing="1" w:after="120"/>
      <w:ind w:firstLine="200" w:firstLineChars="200"/>
      <w:textAlignment w:val="baseline"/>
    </w:pPr>
    <w:rPr>
      <w:rFonts w:ascii="Calibri" w:hAnsi="Calibri" w:eastAsia="宋体" w:cs="宋体"/>
      <w:color w:val="auto"/>
      <w:kern w:val="3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14</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2018-07-14T07:11:00Z</dcterms:created>
  <dc:creator>d</dc:creator>
  <cp:lastModifiedBy>Shirley</cp:lastModifiedBy>
  <cp:lastPrinted>2025-12-26T09:14:18Z</cp:lastPrinted>
  <dcterms:modified xsi:type="dcterms:W3CDTF">2025-12-26T16:35:32Z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5AD0C9E0B0D1A91749624D691BCBABD8_43</vt:lpwstr>
  </property>
</Properties>
</file>